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B2B9" w14:textId="70EB14ED" w:rsidR="00567CD3" w:rsidRDefault="00BB0241" w:rsidP="00567CD3">
      <w:pPr>
        <w:jc w:val="right"/>
      </w:pPr>
      <w:r w:rsidRPr="00BB0241">
        <w:t>Konstantynów Łódzki, dn. 1</w:t>
      </w:r>
      <w:r w:rsidR="006C6CF4">
        <w:t>6</w:t>
      </w:r>
      <w:r w:rsidRPr="00BB0241">
        <w:t xml:space="preserve"> sierpnia 2021 r.</w:t>
      </w:r>
    </w:p>
    <w:p w14:paraId="1BA2A0BE" w14:textId="77777777" w:rsidR="00BB0241" w:rsidRDefault="00BB0241" w:rsidP="00567CD3">
      <w:pPr>
        <w:jc w:val="right"/>
        <w:rPr>
          <w:b/>
          <w:bCs/>
        </w:rPr>
      </w:pPr>
    </w:p>
    <w:p w14:paraId="663D2AFD" w14:textId="77777777" w:rsidR="00CD580F" w:rsidRDefault="00CD580F" w:rsidP="007B7EC6"/>
    <w:p w14:paraId="53A70633" w14:textId="6AFAF93F" w:rsidR="00712B47" w:rsidRDefault="00BD66D4" w:rsidP="007B7EC6">
      <w:pPr>
        <w:rPr>
          <w:rFonts w:eastAsia="SimSun"/>
        </w:rPr>
      </w:pPr>
      <w:r>
        <w:rPr>
          <w:rFonts w:eastAsia="SimSun"/>
        </w:rPr>
        <w:t>OŚ.6220.</w:t>
      </w:r>
      <w:r w:rsidR="00BB0241">
        <w:rPr>
          <w:rFonts w:eastAsia="SimSun"/>
        </w:rPr>
        <w:t>28</w:t>
      </w:r>
      <w:r>
        <w:rPr>
          <w:rFonts w:eastAsia="SimSun"/>
        </w:rPr>
        <w:t>-1</w:t>
      </w:r>
      <w:r w:rsidR="00BB0241">
        <w:rPr>
          <w:rFonts w:eastAsia="SimSun"/>
        </w:rPr>
        <w:t>4</w:t>
      </w:r>
      <w:r>
        <w:rPr>
          <w:rFonts w:eastAsia="SimSun"/>
        </w:rPr>
        <w:t>-1</w:t>
      </w:r>
      <w:r w:rsidRPr="0040248B">
        <w:rPr>
          <w:rFonts w:eastAsia="SimSun"/>
        </w:rPr>
        <w:t>.20</w:t>
      </w:r>
      <w:r w:rsidR="00BB0241">
        <w:rPr>
          <w:rFonts w:eastAsia="SimSun"/>
        </w:rPr>
        <w:t>20/21</w:t>
      </w:r>
      <w:r w:rsidRPr="0040248B">
        <w:rPr>
          <w:rFonts w:eastAsia="SimSun"/>
        </w:rPr>
        <w:t>.WK</w:t>
      </w:r>
    </w:p>
    <w:p w14:paraId="49A5A7A5" w14:textId="77777777" w:rsidR="00BD66D4" w:rsidRDefault="00BD66D4" w:rsidP="007B7EC6"/>
    <w:p w14:paraId="731D4BF7" w14:textId="65E56A28" w:rsidR="00CD580F" w:rsidRDefault="007A6B17" w:rsidP="007B7EC6">
      <w:pPr>
        <w:rPr>
          <w:b/>
          <w:bCs/>
          <w:lang w:val="de-DE"/>
        </w:rPr>
      </w:pPr>
      <w:r>
        <w:rPr>
          <w:b/>
          <w:bCs/>
        </w:rPr>
        <w:t xml:space="preserve">Załącznik do decyzji nr </w:t>
      </w:r>
      <w:r w:rsidR="00BB0241" w:rsidRPr="00BB0241">
        <w:rPr>
          <w:b/>
          <w:bCs/>
        </w:rPr>
        <w:t>OŚ.6220.28-14.2020/21.WK</w:t>
      </w:r>
    </w:p>
    <w:p w14:paraId="45F83991" w14:textId="77777777" w:rsidR="00CD580F" w:rsidRDefault="00CD580F" w:rsidP="00B95855">
      <w:pPr>
        <w:rPr>
          <w:b/>
        </w:rPr>
      </w:pPr>
    </w:p>
    <w:p w14:paraId="5EC54CCF" w14:textId="63EB8EF1" w:rsidR="00CD580F" w:rsidRDefault="007A6B17" w:rsidP="00343280">
      <w:pPr>
        <w:jc w:val="both"/>
        <w:rPr>
          <w:b/>
        </w:rPr>
      </w:pPr>
      <w:r>
        <w:rPr>
          <w:b/>
        </w:rPr>
        <w:t xml:space="preserve">Charakterystyka planowanego przedsięwzięcia </w:t>
      </w:r>
      <w:r w:rsidR="00343280">
        <w:rPr>
          <w:b/>
        </w:rPr>
        <w:t xml:space="preserve">zgodnie z art. 82 ust. 3 ustawy </w:t>
      </w:r>
      <w:r>
        <w:rPr>
          <w:b/>
        </w:rPr>
        <w:t xml:space="preserve">o udostępnianiu informacji o środowisku i jego ochronie, udziale społeczeństwa w ochronie środowiska oraz o ocenach oddziaływania na środowisko </w:t>
      </w:r>
      <w:r w:rsidR="00CA2D93" w:rsidRPr="00CA2D93">
        <w:rPr>
          <w:b/>
        </w:rPr>
        <w:t>(</w:t>
      </w:r>
      <w:proofErr w:type="spellStart"/>
      <w:r w:rsidR="00CA2D93" w:rsidRPr="00CA2D93">
        <w:rPr>
          <w:b/>
        </w:rPr>
        <w:t>t.j</w:t>
      </w:r>
      <w:proofErr w:type="spellEnd"/>
      <w:r w:rsidR="00CA2D93" w:rsidRPr="00CA2D93">
        <w:rPr>
          <w:b/>
        </w:rPr>
        <w:t>. Dz. U. 2021 poz. 247 ze zm.)</w:t>
      </w:r>
    </w:p>
    <w:p w14:paraId="522098EF" w14:textId="77777777" w:rsidR="00E53690" w:rsidRDefault="00E53690" w:rsidP="00886A4B">
      <w:pPr>
        <w:tabs>
          <w:tab w:val="left" w:pos="426"/>
        </w:tabs>
        <w:jc w:val="both"/>
      </w:pPr>
    </w:p>
    <w:p w14:paraId="6C25EE9D" w14:textId="77777777" w:rsidR="006C6CF4" w:rsidRPr="007878C3" w:rsidRDefault="006C6CF4" w:rsidP="006C6CF4">
      <w:pPr>
        <w:pStyle w:val="Default"/>
        <w:ind w:firstLine="708"/>
        <w:jc w:val="both"/>
        <w:rPr>
          <w:color w:val="auto"/>
        </w:rPr>
      </w:pPr>
      <w:r w:rsidRPr="007878C3">
        <w:rPr>
          <w:bCs/>
          <w:color w:val="auto"/>
        </w:rPr>
        <w:t xml:space="preserve">Powierzchnia planowanego przedsięwzięcia </w:t>
      </w:r>
      <w:r w:rsidRPr="007878C3">
        <w:rPr>
          <w:color w:val="auto"/>
        </w:rPr>
        <w:t xml:space="preserve">(do przekształcenia) będzie wynosić łącznie </w:t>
      </w:r>
      <w:r w:rsidRPr="007878C3">
        <w:rPr>
          <w:bCs/>
          <w:color w:val="auto"/>
        </w:rPr>
        <w:t>ok.</w:t>
      </w:r>
      <w:r>
        <w:rPr>
          <w:bCs/>
          <w:color w:val="auto"/>
        </w:rPr>
        <w:t> </w:t>
      </w:r>
      <w:r w:rsidRPr="007878C3">
        <w:rPr>
          <w:bCs/>
          <w:color w:val="auto"/>
        </w:rPr>
        <w:t>13,11 ha, w tym powierzchnie:</w:t>
      </w:r>
    </w:p>
    <w:p w14:paraId="063FF2E7" w14:textId="77777777" w:rsidR="006C6CF4" w:rsidRDefault="006C6CF4" w:rsidP="006C6CF4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7878C3">
        <w:rPr>
          <w:color w:val="auto"/>
        </w:rPr>
        <w:t>powierzchnia zabudowy zadaszonej łącznie: ok. 6,40 ha (ok. 49%)</w:t>
      </w:r>
      <w:r>
        <w:rPr>
          <w:color w:val="auto"/>
        </w:rPr>
        <w:t>;</w:t>
      </w:r>
    </w:p>
    <w:p w14:paraId="5E5630C1" w14:textId="77777777" w:rsidR="006C6CF4" w:rsidRDefault="006C6CF4" w:rsidP="006C6CF4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481D97">
        <w:rPr>
          <w:color w:val="auto"/>
        </w:rPr>
        <w:t>powierzchnia utwardzeń łącznie: ok. 4,09 ha (ok. 31%)</w:t>
      </w:r>
      <w:r>
        <w:rPr>
          <w:color w:val="auto"/>
        </w:rPr>
        <w:t>;</w:t>
      </w:r>
    </w:p>
    <w:p w14:paraId="2B9935BB" w14:textId="77777777" w:rsidR="006C6CF4" w:rsidRPr="00481D97" w:rsidRDefault="006C6CF4" w:rsidP="006C6CF4">
      <w:pPr>
        <w:pStyle w:val="Default"/>
        <w:numPr>
          <w:ilvl w:val="0"/>
          <w:numId w:val="41"/>
        </w:numPr>
        <w:jc w:val="both"/>
        <w:rPr>
          <w:color w:val="auto"/>
        </w:rPr>
      </w:pPr>
      <w:r w:rsidRPr="00481D97">
        <w:rPr>
          <w:color w:val="auto"/>
        </w:rPr>
        <w:t xml:space="preserve">powierzchnia biologicznie czynna (łącznie): min. 2,62 ha (min. 20%) </w:t>
      </w:r>
    </w:p>
    <w:p w14:paraId="2FAF03B4" w14:textId="77777777" w:rsidR="006C6CF4" w:rsidRPr="007878C3" w:rsidRDefault="006C6CF4" w:rsidP="006C6CF4">
      <w:pPr>
        <w:pStyle w:val="Default"/>
        <w:jc w:val="both"/>
        <w:rPr>
          <w:color w:val="auto"/>
        </w:rPr>
      </w:pPr>
      <w:r w:rsidRPr="007878C3">
        <w:rPr>
          <w:color w:val="auto"/>
        </w:rPr>
        <w:t xml:space="preserve">w tym: hala produkcyjno-magazynowo – usługowa wraz z segmentami </w:t>
      </w:r>
      <w:proofErr w:type="spellStart"/>
      <w:r w:rsidRPr="007878C3">
        <w:rPr>
          <w:color w:val="auto"/>
        </w:rPr>
        <w:t>socjalno</w:t>
      </w:r>
      <w:proofErr w:type="spellEnd"/>
      <w:r w:rsidRPr="007878C3">
        <w:rPr>
          <w:color w:val="auto"/>
        </w:rPr>
        <w:t xml:space="preserve"> – biurowymi oraz częściami pomieszczeń technicznych, </w:t>
      </w:r>
      <w:r>
        <w:rPr>
          <w:color w:val="auto"/>
        </w:rPr>
        <w:t xml:space="preserve">o </w:t>
      </w:r>
      <w:r w:rsidRPr="007878C3">
        <w:rPr>
          <w:color w:val="auto"/>
        </w:rPr>
        <w:t>powierzchni łącznej ok. 6,4 ha</w:t>
      </w:r>
      <w:r>
        <w:rPr>
          <w:color w:val="auto"/>
        </w:rPr>
        <w:t>.</w:t>
      </w:r>
      <w:r w:rsidRPr="007878C3">
        <w:rPr>
          <w:color w:val="auto"/>
        </w:rPr>
        <w:t xml:space="preserve"> </w:t>
      </w:r>
    </w:p>
    <w:p w14:paraId="682DCFC7" w14:textId="77777777" w:rsidR="006C6CF4" w:rsidRPr="007878C3" w:rsidRDefault="006C6CF4" w:rsidP="006C6CF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H</w:t>
      </w:r>
      <w:r w:rsidRPr="007878C3">
        <w:rPr>
          <w:color w:val="auto"/>
        </w:rPr>
        <w:t xml:space="preserve">ala wyposażona będzie głównie w instalacje takie jak: wentylacyjna, chłodnicza (klimatyzacyjna segmentów socjalno-biurowych oraz chłodnicza ewentualnych przestrzeni chłodni i mroźni), grzewcza zasilana gazem (promienniki lub nagrzewnice gazowe </w:t>
      </w:r>
      <w:r>
        <w:rPr>
          <w:color w:val="auto"/>
        </w:rPr>
        <w:br/>
      </w:r>
      <w:r w:rsidRPr="007878C3">
        <w:rPr>
          <w:color w:val="auto"/>
        </w:rPr>
        <w:t>w przestrzeni hali oraz instalacja c.o. oparta na systemie wodnym ogrzewanym za pomocą kotłów gazowych w segmentach socjalno-biurowych), wody do celów socjalnych, wody do celów p.poż (hydrantowa i tryskaczowa), kanalizacji sanitarnej, kanalizacji deszczowej, elektrotechnicznej, teletechnicznej</w:t>
      </w:r>
      <w:r>
        <w:rPr>
          <w:color w:val="auto"/>
        </w:rPr>
        <w:t>;</w:t>
      </w:r>
      <w:r w:rsidRPr="007878C3">
        <w:rPr>
          <w:color w:val="auto"/>
        </w:rPr>
        <w:t xml:space="preserve"> </w:t>
      </w:r>
    </w:p>
    <w:p w14:paraId="4088F8C2" w14:textId="77777777" w:rsidR="006C6CF4" w:rsidRPr="007878C3" w:rsidRDefault="006C6CF4" w:rsidP="006C6CF4">
      <w:pPr>
        <w:pStyle w:val="Default"/>
        <w:numPr>
          <w:ilvl w:val="0"/>
          <w:numId w:val="42"/>
        </w:numPr>
        <w:jc w:val="both"/>
        <w:rPr>
          <w:color w:val="auto"/>
        </w:rPr>
      </w:pPr>
      <w:r w:rsidRPr="007878C3">
        <w:rPr>
          <w:color w:val="auto"/>
        </w:rPr>
        <w:t xml:space="preserve">tereny utwardzone, </w:t>
      </w:r>
      <w:r>
        <w:rPr>
          <w:color w:val="auto"/>
        </w:rPr>
        <w:t xml:space="preserve">o </w:t>
      </w:r>
      <w:r w:rsidRPr="007878C3">
        <w:rPr>
          <w:color w:val="auto"/>
        </w:rPr>
        <w:t>powierzchni łącznej ok. 4,09 ha (w tym dróg o długości ok. 1,8 km oraz parkingów powierzchni użytkowej łącznej ok. 0,51 ha)</w:t>
      </w:r>
      <w:r>
        <w:rPr>
          <w:color w:val="auto"/>
        </w:rPr>
        <w:t>;</w:t>
      </w:r>
    </w:p>
    <w:p w14:paraId="61BC00CB" w14:textId="77777777" w:rsidR="006C6CF4" w:rsidRPr="007878C3" w:rsidRDefault="006C6CF4" w:rsidP="006C6CF4">
      <w:pPr>
        <w:pStyle w:val="Default"/>
        <w:jc w:val="both"/>
        <w:rPr>
          <w:color w:val="auto"/>
        </w:rPr>
      </w:pPr>
      <w:r w:rsidRPr="007878C3">
        <w:rPr>
          <w:color w:val="auto"/>
        </w:rPr>
        <w:t xml:space="preserve">Uszczegółowienie w zakresie projektowanych terenów utwardzonych: </w:t>
      </w:r>
    </w:p>
    <w:p w14:paraId="04774F2E" w14:textId="77777777" w:rsidR="006C6CF4" w:rsidRPr="00481D97" w:rsidRDefault="006C6CF4" w:rsidP="006C6CF4">
      <w:pPr>
        <w:pStyle w:val="Default"/>
        <w:numPr>
          <w:ilvl w:val="0"/>
          <w:numId w:val="43"/>
        </w:numPr>
        <w:jc w:val="both"/>
        <w:rPr>
          <w:color w:val="auto"/>
        </w:rPr>
      </w:pPr>
      <w:r>
        <w:rPr>
          <w:color w:val="auto"/>
        </w:rPr>
        <w:t>k</w:t>
      </w:r>
      <w:r w:rsidRPr="007878C3">
        <w:rPr>
          <w:color w:val="auto"/>
        </w:rPr>
        <w:t xml:space="preserve">walifikacja powierzchni użytkowej parkingu (jak pisano wyżej ok. 0,51 ha) obejmuje wydzieloną powierzchnię terenu przeznaczoną do postoju i parkowania samochodów, składającą się ze stanowisk postojowych oraz dojazdów łączących te stanowiska, jeżeli takie dojazdy występują. </w:t>
      </w:r>
      <w:r w:rsidRPr="00481D97">
        <w:rPr>
          <w:color w:val="auto"/>
        </w:rPr>
        <w:t>Infrastruktura bezpośrednio związana z miejscami postojowymi (odwodnienie terenów) będzie częścią ogólnej infrastruktury uzbrojenia terenu, zatem podjęto decyzję o rozgraniczeniu umownego terenu przeznaczonego pod parkingi, zgodnie z</w:t>
      </w:r>
      <w:r>
        <w:rPr>
          <w:color w:val="auto"/>
        </w:rPr>
        <w:t> </w:t>
      </w:r>
      <w:r w:rsidRPr="00481D97">
        <w:rPr>
          <w:color w:val="auto"/>
        </w:rPr>
        <w:t xml:space="preserve">definicją parkingu zawartą w rozporządzeniu Ministra Infrastruktury w sprawie warunków technicznych, jakim powinny odpowiadać budynki i ich usytuowanie (tekst jednolity Dz.U.2019 poz. 1065 ze zmianami). </w:t>
      </w:r>
      <w:r w:rsidRPr="00481D97">
        <w:t>Nie będzie parkingów wielopoziomowych ani podziemnych</w:t>
      </w:r>
      <w:r>
        <w:t>,</w:t>
      </w:r>
    </w:p>
    <w:p w14:paraId="70254C9C" w14:textId="77777777" w:rsidR="006C6CF4" w:rsidRPr="007878C3" w:rsidRDefault="006C6CF4" w:rsidP="006C6CF4">
      <w:pPr>
        <w:pStyle w:val="Default"/>
        <w:numPr>
          <w:ilvl w:val="0"/>
          <w:numId w:val="43"/>
        </w:numPr>
        <w:jc w:val="both"/>
        <w:rPr>
          <w:color w:val="auto"/>
        </w:rPr>
      </w:pPr>
      <w:r>
        <w:rPr>
          <w:color w:val="auto"/>
        </w:rPr>
        <w:t>p</w:t>
      </w:r>
      <w:r w:rsidRPr="007878C3">
        <w:rPr>
          <w:color w:val="auto"/>
        </w:rPr>
        <w:t>ozostała powierzchnia terenów utwardzonych, czyli ok. 3,58 ha to powierzchnie z</w:t>
      </w:r>
      <w:r>
        <w:rPr>
          <w:color w:val="auto"/>
        </w:rPr>
        <w:t> </w:t>
      </w:r>
      <w:r w:rsidRPr="007878C3">
        <w:rPr>
          <w:color w:val="auto"/>
        </w:rPr>
        <w:t xml:space="preserve">wyłączeniem parkingów i budynków, czyli: drogi dojazdowe niebędące dojazdami stanowisk postojowych, zjazdy, place manewrowe, doki, rampy, chodniki, płyty fundamentowe zbiorników (gazu, wody p. </w:t>
      </w:r>
      <w:proofErr w:type="spellStart"/>
      <w:r w:rsidRPr="007878C3">
        <w:rPr>
          <w:color w:val="auto"/>
        </w:rPr>
        <w:t>poż</w:t>
      </w:r>
      <w:proofErr w:type="spellEnd"/>
      <w:r w:rsidRPr="007878C3">
        <w:rPr>
          <w:color w:val="auto"/>
        </w:rPr>
        <w:t xml:space="preserve">), wiaty, agregaty, </w:t>
      </w:r>
    </w:p>
    <w:p w14:paraId="61F8DFA7" w14:textId="77777777" w:rsidR="006C6CF4" w:rsidRPr="007878C3" w:rsidRDefault="006C6CF4" w:rsidP="006C6CF4">
      <w:pPr>
        <w:pStyle w:val="Default"/>
        <w:numPr>
          <w:ilvl w:val="0"/>
          <w:numId w:val="42"/>
        </w:numPr>
        <w:jc w:val="both"/>
        <w:rPr>
          <w:color w:val="auto"/>
        </w:rPr>
      </w:pPr>
      <w:r w:rsidRPr="007878C3">
        <w:rPr>
          <w:color w:val="auto"/>
        </w:rPr>
        <w:t>budynek pompowni wody p.poż wraz z naziemny</w:t>
      </w:r>
      <w:r>
        <w:rPr>
          <w:color w:val="auto"/>
        </w:rPr>
        <w:t>m</w:t>
      </w:r>
      <w:r w:rsidRPr="007878C3">
        <w:rPr>
          <w:color w:val="auto"/>
        </w:rPr>
        <w:t xml:space="preserve"> zbiornik</w:t>
      </w:r>
      <w:r>
        <w:rPr>
          <w:color w:val="auto"/>
        </w:rPr>
        <w:t>iem</w:t>
      </w:r>
      <w:r w:rsidRPr="007878C3">
        <w:rPr>
          <w:color w:val="auto"/>
        </w:rPr>
        <w:t xml:space="preserve"> wody p.poż, </w:t>
      </w:r>
      <w:r>
        <w:rPr>
          <w:color w:val="auto"/>
        </w:rPr>
        <w:br/>
        <w:t xml:space="preserve">o </w:t>
      </w:r>
      <w:r w:rsidRPr="007878C3">
        <w:rPr>
          <w:color w:val="auto"/>
        </w:rPr>
        <w:t>powierzchni łącznej ok. 200 m</w:t>
      </w:r>
      <w:r w:rsidRPr="00481D97">
        <w:rPr>
          <w:color w:val="auto"/>
          <w:vertAlign w:val="superscript"/>
        </w:rPr>
        <w:t>2</w:t>
      </w:r>
      <w:r>
        <w:rPr>
          <w:color w:val="auto"/>
        </w:rPr>
        <w:t>;</w:t>
      </w:r>
      <w:r w:rsidRPr="007878C3">
        <w:rPr>
          <w:color w:val="auto"/>
        </w:rPr>
        <w:t xml:space="preserve"> </w:t>
      </w:r>
    </w:p>
    <w:p w14:paraId="23A8E190" w14:textId="77777777" w:rsidR="006C6CF4" w:rsidRPr="007878C3" w:rsidRDefault="006C6CF4" w:rsidP="006C6CF4">
      <w:pPr>
        <w:pStyle w:val="Default"/>
        <w:numPr>
          <w:ilvl w:val="0"/>
          <w:numId w:val="42"/>
        </w:numPr>
        <w:jc w:val="both"/>
        <w:rPr>
          <w:color w:val="auto"/>
        </w:rPr>
      </w:pPr>
      <w:r w:rsidRPr="007878C3">
        <w:rPr>
          <w:color w:val="auto"/>
        </w:rPr>
        <w:t xml:space="preserve">zbiorniki retencyjne wody opadowej </w:t>
      </w:r>
      <w:r>
        <w:rPr>
          <w:color w:val="auto"/>
        </w:rPr>
        <w:t xml:space="preserve">o </w:t>
      </w:r>
      <w:r w:rsidRPr="007878C3">
        <w:rPr>
          <w:color w:val="auto"/>
        </w:rPr>
        <w:t>pojemności min. 2803 m</w:t>
      </w:r>
      <w:r w:rsidRPr="00481D97">
        <w:rPr>
          <w:color w:val="auto"/>
          <w:vertAlign w:val="superscript"/>
        </w:rPr>
        <w:t>2</w:t>
      </w:r>
      <w:r w:rsidRPr="007878C3">
        <w:rPr>
          <w:color w:val="auto"/>
        </w:rPr>
        <w:t xml:space="preserve"> dla maksymalnej projektowanej powierzchni szczelnej 10,49 ha, </w:t>
      </w:r>
    </w:p>
    <w:p w14:paraId="20E20743" w14:textId="77777777" w:rsidR="006C6CF4" w:rsidRPr="007878C3" w:rsidRDefault="006C6CF4" w:rsidP="006C6CF4">
      <w:pPr>
        <w:pStyle w:val="Default"/>
        <w:numPr>
          <w:ilvl w:val="0"/>
          <w:numId w:val="42"/>
        </w:numPr>
        <w:jc w:val="both"/>
        <w:rPr>
          <w:color w:val="auto"/>
        </w:rPr>
      </w:pPr>
      <w:r w:rsidRPr="007878C3">
        <w:rPr>
          <w:color w:val="auto"/>
        </w:rPr>
        <w:t xml:space="preserve">zjazd publiczny, </w:t>
      </w:r>
    </w:p>
    <w:p w14:paraId="1A3D66CA" w14:textId="77777777" w:rsidR="006C6CF4" w:rsidRPr="007878C3" w:rsidRDefault="006C6CF4" w:rsidP="006C6CF4">
      <w:pPr>
        <w:pStyle w:val="Default"/>
        <w:numPr>
          <w:ilvl w:val="0"/>
          <w:numId w:val="42"/>
        </w:numPr>
        <w:jc w:val="both"/>
        <w:rPr>
          <w:color w:val="auto"/>
        </w:rPr>
      </w:pPr>
      <w:r w:rsidRPr="007878C3">
        <w:rPr>
          <w:color w:val="auto"/>
        </w:rPr>
        <w:lastRenderedPageBreak/>
        <w:t xml:space="preserve">do 7 agregatów prądotwórczych, </w:t>
      </w:r>
    </w:p>
    <w:p w14:paraId="409D17DE" w14:textId="77777777" w:rsidR="006C6CF4" w:rsidRDefault="006C6CF4" w:rsidP="006C6CF4">
      <w:pPr>
        <w:pStyle w:val="Default"/>
        <w:numPr>
          <w:ilvl w:val="0"/>
          <w:numId w:val="42"/>
        </w:numPr>
        <w:jc w:val="both"/>
        <w:rPr>
          <w:color w:val="auto"/>
        </w:rPr>
      </w:pPr>
      <w:r w:rsidRPr="007878C3">
        <w:rPr>
          <w:color w:val="auto"/>
        </w:rPr>
        <w:t>zbiorniki gazu o pojemności łącznej do 100 m</w:t>
      </w:r>
      <w:r w:rsidRPr="00481D97">
        <w:rPr>
          <w:color w:val="auto"/>
          <w:vertAlign w:val="superscript"/>
        </w:rPr>
        <w:t>3</w:t>
      </w:r>
      <w:r w:rsidRPr="007878C3">
        <w:rPr>
          <w:color w:val="auto"/>
        </w:rPr>
        <w:t xml:space="preserve"> (LPG/LNG/CNG lub gazu ziemnego) zlokalizowane poza halą (jako opcja rezerwowa), w przypadku LNG: wraz ze stacją </w:t>
      </w:r>
      <w:proofErr w:type="spellStart"/>
      <w:r w:rsidRPr="007878C3">
        <w:rPr>
          <w:color w:val="auto"/>
        </w:rPr>
        <w:t>redukcyjno</w:t>
      </w:r>
      <w:proofErr w:type="spellEnd"/>
      <w:r w:rsidRPr="007878C3">
        <w:rPr>
          <w:color w:val="auto"/>
        </w:rPr>
        <w:t xml:space="preserve">- pomiarową I stopnia (SRP z maksymalnym ciśnieniem 1,6 </w:t>
      </w:r>
      <w:proofErr w:type="spellStart"/>
      <w:r w:rsidRPr="007878C3">
        <w:rPr>
          <w:color w:val="auto"/>
        </w:rPr>
        <w:t>MPa</w:t>
      </w:r>
      <w:proofErr w:type="spellEnd"/>
      <w:r w:rsidRPr="007878C3">
        <w:rPr>
          <w:color w:val="auto"/>
        </w:rPr>
        <w:t xml:space="preserve">), </w:t>
      </w:r>
    </w:p>
    <w:p w14:paraId="65A97A3C" w14:textId="77777777" w:rsidR="006C6CF4" w:rsidRPr="00237DB7" w:rsidRDefault="006C6CF4" w:rsidP="006C6CF4">
      <w:pPr>
        <w:pStyle w:val="Default"/>
        <w:numPr>
          <w:ilvl w:val="0"/>
          <w:numId w:val="42"/>
        </w:numPr>
        <w:jc w:val="both"/>
        <w:rPr>
          <w:color w:val="auto"/>
        </w:rPr>
      </w:pPr>
      <w:r w:rsidRPr="007878C3">
        <w:rPr>
          <w:color w:val="auto"/>
        </w:rPr>
        <w:t>portierni powierzchni ok. 30 m</w:t>
      </w:r>
      <w:r w:rsidRPr="00481D97">
        <w:rPr>
          <w:color w:val="auto"/>
          <w:vertAlign w:val="superscript"/>
        </w:rPr>
        <w:t>2</w:t>
      </w:r>
      <w:r>
        <w:rPr>
          <w:color w:val="auto"/>
        </w:rPr>
        <w:t>,</w:t>
      </w:r>
    </w:p>
    <w:p w14:paraId="31C340CA" w14:textId="77777777" w:rsidR="006C6CF4" w:rsidRPr="007878C3" w:rsidRDefault="006C6CF4" w:rsidP="006C6CF4">
      <w:pPr>
        <w:pStyle w:val="Default"/>
        <w:jc w:val="both"/>
        <w:rPr>
          <w:color w:val="auto"/>
        </w:rPr>
      </w:pPr>
      <w:r w:rsidRPr="007878C3">
        <w:rPr>
          <w:color w:val="auto"/>
        </w:rPr>
        <w:t xml:space="preserve">oraz budowę i przebudowę przyłączy </w:t>
      </w:r>
      <w:r>
        <w:rPr>
          <w:color w:val="auto"/>
        </w:rPr>
        <w:t xml:space="preserve">a także </w:t>
      </w:r>
      <w:r w:rsidRPr="007878C3">
        <w:rPr>
          <w:color w:val="auto"/>
        </w:rPr>
        <w:t>sieci i instalacji niezbędnej infrastruktury technicznej: energetycznej, kanalizacji sanitarnej, kanalizacji deszczowej, teletechnicznej, technologicznej, wody, cieplnej, gazowej</w:t>
      </w:r>
      <w:r>
        <w:rPr>
          <w:color w:val="auto"/>
        </w:rPr>
        <w:t xml:space="preserve"> wraz z </w:t>
      </w:r>
      <w:r w:rsidRPr="007878C3">
        <w:rPr>
          <w:color w:val="auto"/>
        </w:rPr>
        <w:t>wykonanie</w:t>
      </w:r>
      <w:r>
        <w:rPr>
          <w:color w:val="auto"/>
        </w:rPr>
        <w:t>m</w:t>
      </w:r>
      <w:r w:rsidRPr="007878C3">
        <w:rPr>
          <w:color w:val="auto"/>
        </w:rPr>
        <w:t xml:space="preserve"> zieleni izolacyjnej wzdłuż drogi wjazdowej.</w:t>
      </w:r>
    </w:p>
    <w:p w14:paraId="2A995BED" w14:textId="77777777" w:rsidR="006C6CF4" w:rsidRPr="007878C3" w:rsidRDefault="006C6CF4" w:rsidP="006C6CF4">
      <w:pPr>
        <w:ind w:firstLine="708"/>
        <w:jc w:val="both"/>
      </w:pPr>
      <w:r w:rsidRPr="007878C3">
        <w:t>Na terenach utwardzonych mogą powstać w zależności od potrzeb poszczególnych najemców także takie obiekty jak wiaty na palety, wiaty na rowery czy wiaty dla osób palących.</w:t>
      </w:r>
    </w:p>
    <w:p w14:paraId="58686511" w14:textId="77777777" w:rsidR="006C6CF4" w:rsidRDefault="006C6CF4" w:rsidP="006C6CF4">
      <w:pPr>
        <w:pStyle w:val="Tekstpodstawowywcity"/>
        <w:spacing w:line="240" w:lineRule="auto"/>
      </w:pPr>
      <w:r w:rsidRPr="00600A86">
        <w:t xml:space="preserve">Przewiduje się przebudowę rowu przebiegającego przez południową część terenu przedsięwzięcia na działkach 222/3, 221/2, 220/1, 219/1, 281/7, 217/1, 216/1, 256/1, 255/3, 255/4, 403/1, 254/1, 253/1, 252/1, 251/1 obręb K-21 Konstantynów Łódzki. </w:t>
      </w:r>
      <w:r>
        <w:t>P</w:t>
      </w:r>
      <w:r w:rsidRPr="00600A86">
        <w:t xml:space="preserve">rzebudowa tego rowu </w:t>
      </w:r>
      <w:r>
        <w:t>polegać będzie na</w:t>
      </w:r>
      <w:r w:rsidRPr="00600A86">
        <w:t>: likwidacj</w:t>
      </w:r>
      <w:r>
        <w:t>i</w:t>
      </w:r>
      <w:r w:rsidRPr="00600A86">
        <w:t xml:space="preserve"> odcinka koryta otwartego tego rowu na odcinku ok. 220 m i wykonanie nowego odcinka – kanału zamkniętego o szerokości dna mniej niż 1,5 m lub rowu otwartego z płotkami na płazy o długość min. 270 m.</w:t>
      </w:r>
    </w:p>
    <w:p w14:paraId="2D080C39" w14:textId="0350E47B" w:rsidR="00712B47" w:rsidRDefault="006C6CF4" w:rsidP="006C6CF4">
      <w:pPr>
        <w:pStyle w:val="Tekstpodstawowywcity"/>
        <w:spacing w:line="240" w:lineRule="auto"/>
      </w:pPr>
      <w:r w:rsidRPr="00600FDE">
        <w:t>Przedmiotowy zakład będzie pracował 365 dni w roku.</w:t>
      </w:r>
    </w:p>
    <w:p w14:paraId="5159E959" w14:textId="77777777" w:rsidR="006C6CF4" w:rsidRPr="00DD725F" w:rsidRDefault="006C6CF4" w:rsidP="006C6CF4">
      <w:pPr>
        <w:pStyle w:val="Tekstpodstawowywcity"/>
        <w:spacing w:line="240" w:lineRule="auto"/>
        <w:ind w:firstLine="0"/>
      </w:pPr>
    </w:p>
    <w:p w14:paraId="5A8E5ED6" w14:textId="30ABF647" w:rsidR="00D316AE" w:rsidRPr="004947B0" w:rsidRDefault="0023177C" w:rsidP="004947B0">
      <w:pPr>
        <w:jc w:val="both"/>
        <w:rPr>
          <w:b/>
        </w:rPr>
      </w:pPr>
      <w:r w:rsidRPr="00DD725F">
        <w:rPr>
          <w:b/>
        </w:rPr>
        <w:t xml:space="preserve">Emisja </w:t>
      </w:r>
      <w:r w:rsidR="003E4EFA">
        <w:rPr>
          <w:b/>
        </w:rPr>
        <w:t>hałasu</w:t>
      </w:r>
    </w:p>
    <w:p w14:paraId="06C2EB95" w14:textId="77777777" w:rsidR="004947B0" w:rsidRPr="007878C3" w:rsidRDefault="004947B0" w:rsidP="004947B0">
      <w:pPr>
        <w:ind w:firstLine="709"/>
        <w:jc w:val="both"/>
      </w:pPr>
      <w:r w:rsidRPr="007878C3">
        <w:t xml:space="preserve">Oddziaływania związane z emisją hałasu do środowiska na etapie realizacji będą miały charakter krótkotrwały (w porównaniu z fazą eksploatacji przedsięwzięcia) i nie spowodują trwałych zmian w środowisku. Oddziaływanie to będzie związane z pracą sprzętu budowlanego. Ze względu na wielkość oraz charakter prac nie ma możliwości jego wyeliminowania. W celu ograniczenia negatywnego oddziaływania tego etapu zostaną zaplanowane wszelkie operacje z użyciem ciężkiego sprzętu. Sprzęt stosowany w trakcie budowy będzie w dobrym stanie technicznym, przestrzegana będzie zasada wyłączania silników w czasie przerw w pracy. </w:t>
      </w:r>
    </w:p>
    <w:p w14:paraId="7ED45A63" w14:textId="77777777" w:rsidR="004947B0" w:rsidRPr="007878C3" w:rsidRDefault="004947B0" w:rsidP="004947B0">
      <w:pPr>
        <w:ind w:firstLine="709"/>
        <w:jc w:val="both"/>
      </w:pPr>
      <w:r w:rsidRPr="007878C3">
        <w:t>Głównymi źródłami hałasu na przedmiotowym terenie na etapie eksploatacji będą:</w:t>
      </w:r>
    </w:p>
    <w:p w14:paraId="339C8F10" w14:textId="77777777" w:rsidR="004947B0" w:rsidRPr="007878C3" w:rsidRDefault="004947B0" w:rsidP="004947B0">
      <w:pPr>
        <w:numPr>
          <w:ilvl w:val="0"/>
          <w:numId w:val="44"/>
        </w:numPr>
        <w:suppressAutoHyphens w:val="0"/>
        <w:jc w:val="both"/>
        <w:rPr>
          <w:rFonts w:eastAsia="CIDFont+F2"/>
          <w:lang w:eastAsia="en-US"/>
        </w:rPr>
      </w:pPr>
      <w:r w:rsidRPr="007878C3">
        <w:rPr>
          <w:rFonts w:eastAsia="CIDFont+F2"/>
          <w:lang w:eastAsia="en-US"/>
        </w:rPr>
        <w:t>obsługa komunikacyjna przedsięwzięcia: przejazdy i manewry samochodów (dostawa/odbiór towarów) i przejazdy samochodów pracowników obiektu oraz potencjalnych klientów;</w:t>
      </w:r>
    </w:p>
    <w:p w14:paraId="18291F79" w14:textId="77777777" w:rsidR="004947B0" w:rsidRPr="007878C3" w:rsidRDefault="004947B0" w:rsidP="004947B0">
      <w:pPr>
        <w:numPr>
          <w:ilvl w:val="0"/>
          <w:numId w:val="44"/>
        </w:numPr>
        <w:suppressAutoHyphens w:val="0"/>
        <w:jc w:val="both"/>
        <w:rPr>
          <w:rFonts w:eastAsia="CIDFont+F2"/>
          <w:lang w:eastAsia="en-US"/>
        </w:rPr>
      </w:pPr>
      <w:r w:rsidRPr="007878C3">
        <w:rPr>
          <w:rFonts w:eastAsia="CIDFont+F2"/>
          <w:lang w:eastAsia="en-US"/>
        </w:rPr>
        <w:t xml:space="preserve">infrastruktura techniczna (praca central wentylacyjnych, urządzenia chłodnicze, agregat wody lodowej); </w:t>
      </w:r>
    </w:p>
    <w:p w14:paraId="7CA92372" w14:textId="77777777" w:rsidR="004947B0" w:rsidRPr="007878C3" w:rsidRDefault="004947B0" w:rsidP="004947B0">
      <w:pPr>
        <w:numPr>
          <w:ilvl w:val="0"/>
          <w:numId w:val="44"/>
        </w:numPr>
        <w:suppressAutoHyphens w:val="0"/>
        <w:jc w:val="both"/>
        <w:rPr>
          <w:rFonts w:eastAsia="CIDFont+F2"/>
          <w:lang w:eastAsia="en-US"/>
        </w:rPr>
      </w:pPr>
      <w:r>
        <w:rPr>
          <w:rFonts w:eastAsia="CIDFont+F2"/>
          <w:lang w:eastAsia="en-US"/>
        </w:rPr>
        <w:t>h</w:t>
      </w:r>
      <w:r w:rsidRPr="007878C3">
        <w:rPr>
          <w:rFonts w:eastAsia="CIDFont+F2"/>
          <w:lang w:eastAsia="en-US"/>
        </w:rPr>
        <w:t>ala produkcyjno-magazynowa;</w:t>
      </w:r>
    </w:p>
    <w:p w14:paraId="7FC1B8FB" w14:textId="77777777" w:rsidR="004947B0" w:rsidRPr="007878C3" w:rsidRDefault="004947B0" w:rsidP="004947B0">
      <w:pPr>
        <w:numPr>
          <w:ilvl w:val="0"/>
          <w:numId w:val="44"/>
        </w:numPr>
        <w:suppressAutoHyphens w:val="0"/>
        <w:jc w:val="both"/>
        <w:rPr>
          <w:rFonts w:eastAsia="CIDFont+F2"/>
          <w:lang w:eastAsia="en-US"/>
        </w:rPr>
      </w:pPr>
      <w:r>
        <w:rPr>
          <w:rFonts w:eastAsia="CIDFont+F2"/>
          <w:lang w:eastAsia="en-US"/>
        </w:rPr>
        <w:t>p</w:t>
      </w:r>
      <w:r w:rsidRPr="007878C3">
        <w:rPr>
          <w:rFonts w:eastAsia="CIDFont+F2"/>
          <w:lang w:eastAsia="en-US"/>
        </w:rPr>
        <w:t xml:space="preserve">ompownia p. </w:t>
      </w:r>
      <w:proofErr w:type="spellStart"/>
      <w:r w:rsidRPr="007878C3">
        <w:rPr>
          <w:rFonts w:eastAsia="CIDFont+F2"/>
          <w:lang w:eastAsia="en-US"/>
        </w:rPr>
        <w:t>poż</w:t>
      </w:r>
      <w:proofErr w:type="spellEnd"/>
      <w:r w:rsidRPr="007878C3">
        <w:rPr>
          <w:rFonts w:eastAsia="CIDFont+F2"/>
          <w:lang w:eastAsia="en-US"/>
        </w:rPr>
        <w:t>.</w:t>
      </w:r>
    </w:p>
    <w:p w14:paraId="38F4CBD4" w14:textId="77777777" w:rsidR="004947B0" w:rsidRPr="00DD725F" w:rsidRDefault="004947B0" w:rsidP="00DD725F">
      <w:pPr>
        <w:jc w:val="both"/>
        <w:rPr>
          <w:b/>
        </w:rPr>
      </w:pPr>
    </w:p>
    <w:p w14:paraId="7CCC26DA" w14:textId="5013D51D" w:rsidR="00A46125" w:rsidRPr="004947B0" w:rsidRDefault="0023177C" w:rsidP="004947B0">
      <w:pPr>
        <w:jc w:val="both"/>
        <w:rPr>
          <w:b/>
        </w:rPr>
      </w:pPr>
      <w:r w:rsidRPr="00DD725F">
        <w:rPr>
          <w:b/>
        </w:rPr>
        <w:t>Emisja pyłów i gazów</w:t>
      </w:r>
    </w:p>
    <w:p w14:paraId="646764FD" w14:textId="534663C0" w:rsidR="004947B0" w:rsidRPr="007878C3" w:rsidRDefault="004947B0" w:rsidP="004947B0">
      <w:pPr>
        <w:ind w:firstLine="709"/>
        <w:jc w:val="both"/>
      </w:pPr>
      <w:r w:rsidRPr="007878C3">
        <w:t xml:space="preserve">Realizacja powodować będzie oddziaływania charakterystyczne dla prac budowlanych i wykończeniowych. Budowa obiektu wiązać się będzie z oddziaływaniem na środowisko w zakresie emisji gazów i pyłów do powietrza atmosferycznego, generowania hałasu, powstawania ścieków bytowych, powstawania odpadów. Faza realizacji przedsięwzięcia wiąże się z koniecznością zastosowania ciężkiego sprzętu budowlanego, którego praca powodować będzie emisję zanieczyszczeń do powietrza atmosferycznego oraz generowanie hałasu. W celu ograniczenia emisji zanieczyszczeń do atmosfery oraz hałasu z fazy budowy w czasie przerw w pracy silniki używanych maszyn i urządzeń będą wyłączane, a stosowany sprzęt budowlany będzie charakteryzować się dobrym stanem technicznym. </w:t>
      </w:r>
    </w:p>
    <w:p w14:paraId="6C829C94" w14:textId="4E6DA9FF" w:rsidR="004947B0" w:rsidRDefault="004947B0" w:rsidP="004947B0">
      <w:pPr>
        <w:jc w:val="both"/>
      </w:pPr>
    </w:p>
    <w:p w14:paraId="601F6F08" w14:textId="77777777" w:rsidR="00EF449B" w:rsidRDefault="00EF449B" w:rsidP="004947B0">
      <w:pPr>
        <w:jc w:val="both"/>
      </w:pPr>
    </w:p>
    <w:p w14:paraId="645F37C2" w14:textId="431F642A" w:rsidR="00890B19" w:rsidRPr="00F20851" w:rsidRDefault="007A6B17" w:rsidP="00F20851">
      <w:pPr>
        <w:jc w:val="both"/>
        <w:rPr>
          <w:b/>
        </w:rPr>
      </w:pPr>
      <w:r w:rsidRPr="00DD725F">
        <w:rPr>
          <w:b/>
        </w:rPr>
        <w:lastRenderedPageBreak/>
        <w:t>Emisja</w:t>
      </w:r>
      <w:r w:rsidR="0023177C" w:rsidRPr="00DD725F">
        <w:rPr>
          <w:b/>
        </w:rPr>
        <w:t xml:space="preserve"> ścieków bytowych i deszczowych</w:t>
      </w:r>
      <w:r w:rsidR="00890B19" w:rsidRPr="007878C3">
        <w:t xml:space="preserve"> </w:t>
      </w:r>
    </w:p>
    <w:p w14:paraId="04D0F33A" w14:textId="77777777" w:rsidR="00AC33F9" w:rsidRDefault="00890B19" w:rsidP="00AC33F9">
      <w:pPr>
        <w:autoSpaceDE w:val="0"/>
        <w:autoSpaceDN w:val="0"/>
        <w:adjustRightInd w:val="0"/>
        <w:ind w:firstLine="567"/>
        <w:jc w:val="both"/>
        <w:rPr>
          <w:rFonts w:eastAsia="CIDFont+F1"/>
          <w:lang w:eastAsia="pl-PL"/>
        </w:rPr>
      </w:pPr>
      <w:r>
        <w:t xml:space="preserve">W ramach eksploatacji przedsięwzięcia powstające ścieki socjalno-bytowe </w:t>
      </w:r>
      <w:r>
        <w:br/>
        <w:t>z przedmiotowego zakładu będą odprowadzane do kanalizacji sanitarnej lub szczelnych zbiorników bezodpływowych (rezerwa w zależności od warunków gestora sieci, przewiduje się co najmniej 3 szczelne zbiorniki bezodpływowe na ścieki socjalno-bytowe o pojemności 10 m</w:t>
      </w:r>
      <w:r w:rsidRPr="006726F8">
        <w:rPr>
          <w:vertAlign w:val="superscript"/>
        </w:rPr>
        <w:t>3</w:t>
      </w:r>
      <w:r>
        <w:t xml:space="preserve"> każdy).</w:t>
      </w:r>
      <w:r w:rsidR="005140B4" w:rsidRPr="00DC22E3">
        <w:rPr>
          <w:rFonts w:eastAsia="CIDFont+F1"/>
          <w:lang w:eastAsia="pl-PL"/>
        </w:rPr>
        <w:t xml:space="preserve"> </w:t>
      </w:r>
    </w:p>
    <w:p w14:paraId="0457E5A0" w14:textId="096F104C" w:rsidR="00AC33F9" w:rsidRDefault="00AC33F9" w:rsidP="00AC33F9">
      <w:pPr>
        <w:autoSpaceDE w:val="0"/>
        <w:autoSpaceDN w:val="0"/>
        <w:adjustRightInd w:val="0"/>
        <w:ind w:firstLine="567"/>
        <w:jc w:val="both"/>
      </w:pPr>
      <w:r>
        <w:t xml:space="preserve">Potencjalnie powstające ścieki przemysłowe/technologiczne będą odprowadzane do kanalizacji innego podmiotu (poprzez przyłącze do kanalizacji sanitarnej lub poprzez wywóz, zgromadzonych w szczelnych bezodpływowych zbiornikach dostosowanych do gromadzenia ścieków przemysłowych, specjalistycznymi wozami asenizacyjnymi). </w:t>
      </w:r>
    </w:p>
    <w:p w14:paraId="659D7A66" w14:textId="77777777" w:rsidR="00D60326" w:rsidRPr="00DD725F" w:rsidRDefault="00D60326" w:rsidP="00DD725F">
      <w:pPr>
        <w:jc w:val="both"/>
      </w:pPr>
    </w:p>
    <w:p w14:paraId="341E9BDF" w14:textId="4EAABE9C" w:rsidR="003F6F43" w:rsidRPr="002D1CC9" w:rsidRDefault="0023177C" w:rsidP="00DD725F">
      <w:pPr>
        <w:jc w:val="both"/>
        <w:rPr>
          <w:b/>
        </w:rPr>
      </w:pPr>
      <w:r w:rsidRPr="00DD725F">
        <w:rPr>
          <w:b/>
        </w:rPr>
        <w:t>Emisja odpadów</w:t>
      </w:r>
    </w:p>
    <w:p w14:paraId="54822996" w14:textId="77777777" w:rsidR="00374B62" w:rsidRDefault="00374B62" w:rsidP="00374B62">
      <w:pPr>
        <w:pStyle w:val="Tekstpodstawowywcity"/>
        <w:spacing w:line="240" w:lineRule="auto"/>
        <w:rPr>
          <w:iCs/>
        </w:rPr>
      </w:pPr>
      <w:r w:rsidRPr="00EF6CEE">
        <w:rPr>
          <w:iCs/>
        </w:rPr>
        <w:t>Zarówno etap realizacji, eksploatacji, jak i likwidacji przedmiotowego przedsięwzięcia związany będzie z powstawaniem różnego rodzaju odpadów.</w:t>
      </w:r>
    </w:p>
    <w:p w14:paraId="2082514F" w14:textId="77777777" w:rsidR="00374B62" w:rsidRDefault="00374B62" w:rsidP="00374B62">
      <w:pPr>
        <w:pStyle w:val="Tekstpodstawowywcity"/>
        <w:spacing w:line="240" w:lineRule="auto"/>
        <w:rPr>
          <w:iCs/>
        </w:rPr>
      </w:pPr>
      <w:r>
        <w:rPr>
          <w:iCs/>
        </w:rPr>
        <w:t>W karcie informacyjnej wskazano ilości i rodzaje odpadów dla planowanego przedsięwzięcia.</w:t>
      </w:r>
    </w:p>
    <w:p w14:paraId="33406305" w14:textId="77777777" w:rsidR="0022527F" w:rsidRPr="00DD725F" w:rsidRDefault="0022527F" w:rsidP="00DD725F">
      <w:pPr>
        <w:jc w:val="both"/>
      </w:pPr>
    </w:p>
    <w:p w14:paraId="175A66BE" w14:textId="008FF237" w:rsidR="009D7951" w:rsidRPr="00374B62" w:rsidRDefault="007A6B17" w:rsidP="00886A4B">
      <w:pPr>
        <w:jc w:val="both"/>
        <w:rPr>
          <w:b/>
        </w:rPr>
      </w:pPr>
      <w:r w:rsidRPr="00DD725F">
        <w:rPr>
          <w:b/>
        </w:rPr>
        <w:t>Oddziaływania na obszary chronione</w:t>
      </w:r>
    </w:p>
    <w:p w14:paraId="491206C4" w14:textId="77777777" w:rsidR="00374B62" w:rsidRPr="007878C3" w:rsidRDefault="00374B62" w:rsidP="00374B62">
      <w:pPr>
        <w:ind w:firstLine="709"/>
        <w:jc w:val="both"/>
      </w:pPr>
      <w:r w:rsidRPr="007878C3">
        <w:t xml:space="preserve">Planowane przedsięwzięcie położone będzie poza obszarami objętymi ochroną </w:t>
      </w:r>
      <w:r>
        <w:t xml:space="preserve">na </w:t>
      </w:r>
      <w:r w:rsidRPr="007878C3">
        <w:rPr>
          <w:bCs/>
        </w:rPr>
        <w:t xml:space="preserve">podstawie ustawy z dnia 16 kwietnia 2004 r. o ochronie przyrody </w:t>
      </w:r>
      <w:r w:rsidRPr="007878C3">
        <w:t>(Dz. U. z 2020 r., poz. 55 ze zm.).</w:t>
      </w:r>
      <w:r w:rsidRPr="007878C3">
        <w:rPr>
          <w:bCs/>
        </w:rPr>
        <w:t xml:space="preserve"> </w:t>
      </w:r>
      <w:r w:rsidRPr="007878C3">
        <w:t xml:space="preserve">Najbliżej położonymi obszarami chronionymi na podstawie ww. ustawy od planowanego przedsięwzięcia są: </w:t>
      </w:r>
    </w:p>
    <w:p w14:paraId="539A562F" w14:textId="18D28B5B" w:rsidR="00374B62" w:rsidRPr="00425C4A" w:rsidRDefault="00374B62" w:rsidP="00374B6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 xml:space="preserve">rezerwat przyrody Torfowisko Rąbień – w odległości ok. 2,8 </w:t>
      </w:r>
      <w:r w:rsidR="008D417D">
        <w:rPr>
          <w:rFonts w:ascii="Times New Roman" w:hAnsi="Times New Roman"/>
          <w:color w:val="000000"/>
          <w:sz w:val="24"/>
          <w:szCs w:val="24"/>
        </w:rPr>
        <w:t>k</w:t>
      </w:r>
      <w:r w:rsidRPr="00425C4A">
        <w:rPr>
          <w:rFonts w:ascii="Times New Roman" w:hAnsi="Times New Roman"/>
          <w:color w:val="000000"/>
          <w:sz w:val="24"/>
          <w:szCs w:val="24"/>
        </w:rPr>
        <w:t>m,</w:t>
      </w:r>
    </w:p>
    <w:p w14:paraId="62E91FC4" w14:textId="77777777" w:rsidR="00374B62" w:rsidRPr="00425C4A" w:rsidRDefault="00374B62" w:rsidP="00374B6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>zespół Przyrodniczo-Krajobrazowy Dolina Sokołówki – w odległości ok. 5,4 km,</w:t>
      </w:r>
    </w:p>
    <w:p w14:paraId="2474821D" w14:textId="77777777" w:rsidR="00374B62" w:rsidRPr="00FB3E26" w:rsidRDefault="00374B62" w:rsidP="00374B6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>rezerwat przyrody Polesie Konstantynowskie – w odległości ok. 6,4 km,</w:t>
      </w:r>
    </w:p>
    <w:p w14:paraId="24B05932" w14:textId="77777777" w:rsidR="00374B62" w:rsidRPr="00425C4A" w:rsidRDefault="00374B62" w:rsidP="00374B6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>Puczniewski Obszar Chronionego Krajobrazu – w odległości ok. 9 km,</w:t>
      </w:r>
    </w:p>
    <w:p w14:paraId="1C5A91A8" w14:textId="77777777" w:rsidR="00374B62" w:rsidRPr="00425C4A" w:rsidRDefault="00374B62" w:rsidP="00374B62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>Park Krajobrazowy Wzniesień Łódzkich – w odległości ok. 10 km,</w:t>
      </w:r>
    </w:p>
    <w:p w14:paraId="4E38D1DE" w14:textId="7A4FEFAB" w:rsidR="00CD580F" w:rsidRPr="00560E54" w:rsidRDefault="00374B62" w:rsidP="00560E5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5C4A">
        <w:rPr>
          <w:rFonts w:ascii="Times New Roman" w:hAnsi="Times New Roman"/>
          <w:color w:val="000000"/>
          <w:sz w:val="24"/>
          <w:szCs w:val="24"/>
        </w:rPr>
        <w:t>Specjalny obszar ochrony siedlisk Grądy nad Lindą PLH100022 – w odległości ok. 10,4 km.</w:t>
      </w:r>
    </w:p>
    <w:sectPr w:rsidR="00CD580F" w:rsidRPr="00560E54">
      <w:pgSz w:w="12240" w:h="15840"/>
      <w:pgMar w:top="1417" w:right="1417" w:bottom="1276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26E1" w14:textId="77777777" w:rsidR="0029023F" w:rsidRDefault="0029023F">
      <w:r>
        <w:separator/>
      </w:r>
    </w:p>
  </w:endnote>
  <w:endnote w:type="continuationSeparator" w:id="0">
    <w:p w14:paraId="005D20E8" w14:textId="77777777" w:rsidR="0029023F" w:rsidRDefault="0029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008C" w14:textId="77777777" w:rsidR="0029023F" w:rsidRDefault="0029023F">
      <w:r>
        <w:separator/>
      </w:r>
    </w:p>
  </w:footnote>
  <w:footnote w:type="continuationSeparator" w:id="0">
    <w:p w14:paraId="330B76FC" w14:textId="77777777" w:rsidR="0029023F" w:rsidRDefault="0029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B76"/>
    <w:multiLevelType w:val="hybridMultilevel"/>
    <w:tmpl w:val="9FDE9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11D08"/>
    <w:multiLevelType w:val="hybridMultilevel"/>
    <w:tmpl w:val="F6F48C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C22153"/>
    <w:multiLevelType w:val="multilevel"/>
    <w:tmpl w:val="5020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649456F"/>
    <w:multiLevelType w:val="multilevel"/>
    <w:tmpl w:val="0BF066E2"/>
    <w:lvl w:ilvl="0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  <w:rPr>
        <w:sz w:val="20"/>
      </w:rPr>
    </w:lvl>
    <w:lvl w:ilvl="1">
      <w:start w:val="1"/>
      <w:numFmt w:val="none"/>
      <w:suff w:val="nothing"/>
      <w:lvlText w:val=""/>
      <w:lvlJc w:val="left"/>
      <w:pPr>
        <w:ind w:left="326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66044CE"/>
    <w:multiLevelType w:val="hybridMultilevel"/>
    <w:tmpl w:val="751061DA"/>
    <w:lvl w:ilvl="0" w:tplc="57F60E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C51B1"/>
    <w:multiLevelType w:val="multilevel"/>
    <w:tmpl w:val="96CCAC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8D927BB"/>
    <w:multiLevelType w:val="hybridMultilevel"/>
    <w:tmpl w:val="C8261554"/>
    <w:lvl w:ilvl="0" w:tplc="1722CA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9C56DA"/>
    <w:multiLevelType w:val="hybridMultilevel"/>
    <w:tmpl w:val="5BA8D060"/>
    <w:lvl w:ilvl="0" w:tplc="7D6ADF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DA18F1"/>
    <w:multiLevelType w:val="hybridMultilevel"/>
    <w:tmpl w:val="2DCA07B6"/>
    <w:lvl w:ilvl="0" w:tplc="1722CA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BA2098"/>
    <w:multiLevelType w:val="hybridMultilevel"/>
    <w:tmpl w:val="35C2A916"/>
    <w:lvl w:ilvl="0" w:tplc="E75C5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B130F"/>
    <w:multiLevelType w:val="hybridMultilevel"/>
    <w:tmpl w:val="92EE4444"/>
    <w:lvl w:ilvl="0" w:tplc="7D6ADF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4AA697B"/>
    <w:multiLevelType w:val="hybridMultilevel"/>
    <w:tmpl w:val="D9E023F8"/>
    <w:lvl w:ilvl="0" w:tplc="FAF4F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3C44"/>
    <w:multiLevelType w:val="hybridMultilevel"/>
    <w:tmpl w:val="68F63434"/>
    <w:lvl w:ilvl="0" w:tplc="3EC8F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D05C4"/>
    <w:multiLevelType w:val="hybridMultilevel"/>
    <w:tmpl w:val="A31AB8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AC5300A"/>
    <w:multiLevelType w:val="hybridMultilevel"/>
    <w:tmpl w:val="3D5A29CA"/>
    <w:lvl w:ilvl="0" w:tplc="3EC8F6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E7F2BD7"/>
    <w:multiLevelType w:val="hybridMultilevel"/>
    <w:tmpl w:val="19705F9A"/>
    <w:lvl w:ilvl="0" w:tplc="3EC8F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874D0"/>
    <w:multiLevelType w:val="hybridMultilevel"/>
    <w:tmpl w:val="345C014E"/>
    <w:lvl w:ilvl="0" w:tplc="5C884CC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220EE"/>
    <w:multiLevelType w:val="hybridMultilevel"/>
    <w:tmpl w:val="194CEAF8"/>
    <w:lvl w:ilvl="0" w:tplc="19B0B6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AE3143"/>
    <w:multiLevelType w:val="hybridMultilevel"/>
    <w:tmpl w:val="DFAC6536"/>
    <w:lvl w:ilvl="0" w:tplc="540CB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D15D8"/>
    <w:multiLevelType w:val="hybridMultilevel"/>
    <w:tmpl w:val="820EF8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2BE6E04"/>
    <w:multiLevelType w:val="hybridMultilevel"/>
    <w:tmpl w:val="E084B136"/>
    <w:lvl w:ilvl="0" w:tplc="E75C5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94DD7"/>
    <w:multiLevelType w:val="hybridMultilevel"/>
    <w:tmpl w:val="DEF8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D3C79"/>
    <w:multiLevelType w:val="hybridMultilevel"/>
    <w:tmpl w:val="1020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84D53"/>
    <w:multiLevelType w:val="hybridMultilevel"/>
    <w:tmpl w:val="5FA47FB2"/>
    <w:lvl w:ilvl="0" w:tplc="7D6ADF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7B7226D"/>
    <w:multiLevelType w:val="hybridMultilevel"/>
    <w:tmpl w:val="DB2CA336"/>
    <w:lvl w:ilvl="0" w:tplc="894477F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B4DE9"/>
    <w:multiLevelType w:val="multilevel"/>
    <w:tmpl w:val="689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3AB853CE"/>
    <w:multiLevelType w:val="hybridMultilevel"/>
    <w:tmpl w:val="8B8277C0"/>
    <w:lvl w:ilvl="0" w:tplc="19B0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73F80"/>
    <w:multiLevelType w:val="hybridMultilevel"/>
    <w:tmpl w:val="A78642E6"/>
    <w:lvl w:ilvl="0" w:tplc="7D6ADF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2032CD1"/>
    <w:multiLevelType w:val="multilevel"/>
    <w:tmpl w:val="F5BC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42A869C7"/>
    <w:multiLevelType w:val="hybridMultilevel"/>
    <w:tmpl w:val="9B5208CA"/>
    <w:lvl w:ilvl="0" w:tplc="1722CA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BE1A29"/>
    <w:multiLevelType w:val="hybridMultilevel"/>
    <w:tmpl w:val="6442A286"/>
    <w:lvl w:ilvl="0" w:tplc="3EC8F6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2A7510"/>
    <w:multiLevelType w:val="hybridMultilevel"/>
    <w:tmpl w:val="958A76B8"/>
    <w:lvl w:ilvl="0" w:tplc="3EC8F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554E2"/>
    <w:multiLevelType w:val="hybridMultilevel"/>
    <w:tmpl w:val="37A04E66"/>
    <w:lvl w:ilvl="0" w:tplc="E75C5C26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42950"/>
    <w:multiLevelType w:val="hybridMultilevel"/>
    <w:tmpl w:val="596CD95A"/>
    <w:lvl w:ilvl="0" w:tplc="7D6ADF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C37746C"/>
    <w:multiLevelType w:val="hybridMultilevel"/>
    <w:tmpl w:val="501CC41A"/>
    <w:lvl w:ilvl="0" w:tplc="1722CA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9F17F4"/>
    <w:multiLevelType w:val="hybridMultilevel"/>
    <w:tmpl w:val="F280A358"/>
    <w:lvl w:ilvl="0" w:tplc="540CB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E3A86"/>
    <w:multiLevelType w:val="multilevel"/>
    <w:tmpl w:val="E622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68584E4E"/>
    <w:multiLevelType w:val="hybridMultilevel"/>
    <w:tmpl w:val="802A6E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FA2A2C"/>
    <w:multiLevelType w:val="hybridMultilevel"/>
    <w:tmpl w:val="2ACAD5DA"/>
    <w:lvl w:ilvl="0" w:tplc="540CB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66DB7"/>
    <w:multiLevelType w:val="hybridMultilevel"/>
    <w:tmpl w:val="C47A3142"/>
    <w:lvl w:ilvl="0" w:tplc="7D6ADF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180DB6"/>
    <w:multiLevelType w:val="hybridMultilevel"/>
    <w:tmpl w:val="4B044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B1D89"/>
    <w:multiLevelType w:val="hybridMultilevel"/>
    <w:tmpl w:val="72C8D146"/>
    <w:lvl w:ilvl="0" w:tplc="3EC8F6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F140247"/>
    <w:multiLevelType w:val="hybridMultilevel"/>
    <w:tmpl w:val="05225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2CCE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7568995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D77A8"/>
    <w:multiLevelType w:val="hybridMultilevel"/>
    <w:tmpl w:val="7A84BA5A"/>
    <w:lvl w:ilvl="0" w:tplc="3EC8F6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8"/>
  </w:num>
  <w:num w:numId="4">
    <w:abstractNumId w:val="3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37"/>
  </w:num>
  <w:num w:numId="10">
    <w:abstractNumId w:val="19"/>
  </w:num>
  <w:num w:numId="11">
    <w:abstractNumId w:val="40"/>
  </w:num>
  <w:num w:numId="12">
    <w:abstractNumId w:val="42"/>
  </w:num>
  <w:num w:numId="13">
    <w:abstractNumId w:val="21"/>
  </w:num>
  <w:num w:numId="14">
    <w:abstractNumId w:val="32"/>
  </w:num>
  <w:num w:numId="15">
    <w:abstractNumId w:val="9"/>
  </w:num>
  <w:num w:numId="16">
    <w:abstractNumId w:val="13"/>
  </w:num>
  <w:num w:numId="17">
    <w:abstractNumId w:val="11"/>
  </w:num>
  <w:num w:numId="18">
    <w:abstractNumId w:val="4"/>
  </w:num>
  <w:num w:numId="19">
    <w:abstractNumId w:val="8"/>
  </w:num>
  <w:num w:numId="20">
    <w:abstractNumId w:val="24"/>
  </w:num>
  <w:num w:numId="21">
    <w:abstractNumId w:val="34"/>
  </w:num>
  <w:num w:numId="22">
    <w:abstractNumId w:val="29"/>
  </w:num>
  <w:num w:numId="23">
    <w:abstractNumId w:val="16"/>
  </w:num>
  <w:num w:numId="24">
    <w:abstractNumId w:val="20"/>
  </w:num>
  <w:num w:numId="25">
    <w:abstractNumId w:val="6"/>
  </w:num>
  <w:num w:numId="26">
    <w:abstractNumId w:val="43"/>
  </w:num>
  <w:num w:numId="27">
    <w:abstractNumId w:val="30"/>
  </w:num>
  <w:num w:numId="28">
    <w:abstractNumId w:val="31"/>
  </w:num>
  <w:num w:numId="29">
    <w:abstractNumId w:val="12"/>
  </w:num>
  <w:num w:numId="30">
    <w:abstractNumId w:val="15"/>
  </w:num>
  <w:num w:numId="31">
    <w:abstractNumId w:val="41"/>
  </w:num>
  <w:num w:numId="32">
    <w:abstractNumId w:val="14"/>
  </w:num>
  <w:num w:numId="33">
    <w:abstractNumId w:val="10"/>
  </w:num>
  <w:num w:numId="34">
    <w:abstractNumId w:val="39"/>
  </w:num>
  <w:num w:numId="35">
    <w:abstractNumId w:val="23"/>
  </w:num>
  <w:num w:numId="36">
    <w:abstractNumId w:val="27"/>
  </w:num>
  <w:num w:numId="37">
    <w:abstractNumId w:val="7"/>
  </w:num>
  <w:num w:numId="38">
    <w:abstractNumId w:val="17"/>
  </w:num>
  <w:num w:numId="39">
    <w:abstractNumId w:val="26"/>
  </w:num>
  <w:num w:numId="40">
    <w:abstractNumId w:val="33"/>
  </w:num>
  <w:num w:numId="41">
    <w:abstractNumId w:val="38"/>
  </w:num>
  <w:num w:numId="42">
    <w:abstractNumId w:val="35"/>
  </w:num>
  <w:num w:numId="43">
    <w:abstractNumId w:val="2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0F"/>
    <w:rsid w:val="00010E17"/>
    <w:rsid w:val="00023F98"/>
    <w:rsid w:val="00046958"/>
    <w:rsid w:val="00050CD8"/>
    <w:rsid w:val="00055501"/>
    <w:rsid w:val="000A190E"/>
    <w:rsid w:val="000B7DD6"/>
    <w:rsid w:val="000D50EE"/>
    <w:rsid w:val="000E1ADC"/>
    <w:rsid w:val="000E47AA"/>
    <w:rsid w:val="00100090"/>
    <w:rsid w:val="00107CF1"/>
    <w:rsid w:val="00133E5F"/>
    <w:rsid w:val="00143BD0"/>
    <w:rsid w:val="00144D3D"/>
    <w:rsid w:val="001748CC"/>
    <w:rsid w:val="00197AAF"/>
    <w:rsid w:val="00197FDB"/>
    <w:rsid w:val="001A7CC7"/>
    <w:rsid w:val="001D6E77"/>
    <w:rsid w:val="002129B4"/>
    <w:rsid w:val="0021655A"/>
    <w:rsid w:val="0022527F"/>
    <w:rsid w:val="0023177C"/>
    <w:rsid w:val="0025747B"/>
    <w:rsid w:val="002727D2"/>
    <w:rsid w:val="0029023F"/>
    <w:rsid w:val="00294203"/>
    <w:rsid w:val="002B6CA2"/>
    <w:rsid w:val="002D1CC9"/>
    <w:rsid w:val="002E1ACF"/>
    <w:rsid w:val="0030348B"/>
    <w:rsid w:val="00313A1B"/>
    <w:rsid w:val="00322A55"/>
    <w:rsid w:val="00343280"/>
    <w:rsid w:val="00354DC0"/>
    <w:rsid w:val="00355D29"/>
    <w:rsid w:val="00374B62"/>
    <w:rsid w:val="003A0EA4"/>
    <w:rsid w:val="003A34AF"/>
    <w:rsid w:val="003D0F73"/>
    <w:rsid w:val="003E4EFA"/>
    <w:rsid w:val="003F6F43"/>
    <w:rsid w:val="00400585"/>
    <w:rsid w:val="00422B34"/>
    <w:rsid w:val="00466E86"/>
    <w:rsid w:val="004947B0"/>
    <w:rsid w:val="004A395C"/>
    <w:rsid w:val="004C4A17"/>
    <w:rsid w:val="004D580A"/>
    <w:rsid w:val="004F632C"/>
    <w:rsid w:val="00513189"/>
    <w:rsid w:val="005140B4"/>
    <w:rsid w:val="00523C4D"/>
    <w:rsid w:val="00557FB3"/>
    <w:rsid w:val="00560E54"/>
    <w:rsid w:val="00567CD3"/>
    <w:rsid w:val="00577272"/>
    <w:rsid w:val="00586C6C"/>
    <w:rsid w:val="00591E10"/>
    <w:rsid w:val="00595ADB"/>
    <w:rsid w:val="005A78C0"/>
    <w:rsid w:val="005B4E9D"/>
    <w:rsid w:val="005B5485"/>
    <w:rsid w:val="005C1DB5"/>
    <w:rsid w:val="00611C9C"/>
    <w:rsid w:val="00630B9D"/>
    <w:rsid w:val="00660685"/>
    <w:rsid w:val="006917A3"/>
    <w:rsid w:val="006A38FB"/>
    <w:rsid w:val="006A6EB3"/>
    <w:rsid w:val="006C2F10"/>
    <w:rsid w:val="006C6CF4"/>
    <w:rsid w:val="006D03AC"/>
    <w:rsid w:val="006D0D6F"/>
    <w:rsid w:val="006D2535"/>
    <w:rsid w:val="00711F34"/>
    <w:rsid w:val="00712B47"/>
    <w:rsid w:val="00720394"/>
    <w:rsid w:val="00724F28"/>
    <w:rsid w:val="00764C95"/>
    <w:rsid w:val="0078009B"/>
    <w:rsid w:val="00784E42"/>
    <w:rsid w:val="007A2C9C"/>
    <w:rsid w:val="007A6B17"/>
    <w:rsid w:val="007B7EC6"/>
    <w:rsid w:val="007E53BE"/>
    <w:rsid w:val="008004A3"/>
    <w:rsid w:val="00810B64"/>
    <w:rsid w:val="008213B7"/>
    <w:rsid w:val="00823F71"/>
    <w:rsid w:val="00855C8B"/>
    <w:rsid w:val="00863A1A"/>
    <w:rsid w:val="00874AC8"/>
    <w:rsid w:val="00876785"/>
    <w:rsid w:val="00886A4B"/>
    <w:rsid w:val="00890B19"/>
    <w:rsid w:val="00896C63"/>
    <w:rsid w:val="008A1AD4"/>
    <w:rsid w:val="008B4C34"/>
    <w:rsid w:val="008D417D"/>
    <w:rsid w:val="008E19A7"/>
    <w:rsid w:val="008E4C7F"/>
    <w:rsid w:val="009107FB"/>
    <w:rsid w:val="00927DAA"/>
    <w:rsid w:val="00952962"/>
    <w:rsid w:val="009834B8"/>
    <w:rsid w:val="009D3664"/>
    <w:rsid w:val="009D7951"/>
    <w:rsid w:val="009F625B"/>
    <w:rsid w:val="00A402E5"/>
    <w:rsid w:val="00A46125"/>
    <w:rsid w:val="00A66D42"/>
    <w:rsid w:val="00A81575"/>
    <w:rsid w:val="00A91820"/>
    <w:rsid w:val="00A91E5D"/>
    <w:rsid w:val="00A97376"/>
    <w:rsid w:val="00AA04C4"/>
    <w:rsid w:val="00AA7DA6"/>
    <w:rsid w:val="00AC33F9"/>
    <w:rsid w:val="00AC4AF2"/>
    <w:rsid w:val="00AE1A61"/>
    <w:rsid w:val="00B130B3"/>
    <w:rsid w:val="00B36E42"/>
    <w:rsid w:val="00B428A1"/>
    <w:rsid w:val="00B82537"/>
    <w:rsid w:val="00B90972"/>
    <w:rsid w:val="00B95855"/>
    <w:rsid w:val="00BB0241"/>
    <w:rsid w:val="00BD66D4"/>
    <w:rsid w:val="00BD7F9F"/>
    <w:rsid w:val="00C06391"/>
    <w:rsid w:val="00C32E15"/>
    <w:rsid w:val="00C85609"/>
    <w:rsid w:val="00C93DA0"/>
    <w:rsid w:val="00C9408D"/>
    <w:rsid w:val="00CA2D93"/>
    <w:rsid w:val="00CB36B3"/>
    <w:rsid w:val="00CD580F"/>
    <w:rsid w:val="00D229C9"/>
    <w:rsid w:val="00D316AE"/>
    <w:rsid w:val="00D60326"/>
    <w:rsid w:val="00D720B6"/>
    <w:rsid w:val="00D876B9"/>
    <w:rsid w:val="00DC4673"/>
    <w:rsid w:val="00DD725F"/>
    <w:rsid w:val="00DE795C"/>
    <w:rsid w:val="00E118CB"/>
    <w:rsid w:val="00E53690"/>
    <w:rsid w:val="00EF449B"/>
    <w:rsid w:val="00F20851"/>
    <w:rsid w:val="00F62694"/>
    <w:rsid w:val="00F62B0E"/>
    <w:rsid w:val="00F63AD5"/>
    <w:rsid w:val="00F73566"/>
    <w:rsid w:val="00F92C69"/>
    <w:rsid w:val="00FA1FFA"/>
    <w:rsid w:val="00FB71B8"/>
    <w:rsid w:val="00FC66C8"/>
    <w:rsid w:val="00FD7DE2"/>
    <w:rsid w:val="00FE319E"/>
    <w:rsid w:val="00FE750D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3B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81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AC7281"/>
    <w:pPr>
      <w:keepNext/>
      <w:tabs>
        <w:tab w:val="num" w:pos="426"/>
      </w:tabs>
      <w:ind w:left="426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link w:val="Nagwek2Znak"/>
    <w:qFormat/>
    <w:rsid w:val="00AC7281"/>
    <w:pPr>
      <w:keepNext/>
      <w:tabs>
        <w:tab w:val="num" w:pos="426"/>
      </w:tabs>
      <w:spacing w:line="360" w:lineRule="auto"/>
      <w:ind w:left="426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StarSymbol"/>
      <w:sz w:val="18"/>
      <w:szCs w:val="18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Open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AC7281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unhideWhenUsed/>
    <w:rsid w:val="00AC728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1"/>
    <w:semiHidden/>
    <w:rsid w:val="003A0EA4"/>
    <w:pPr>
      <w:spacing w:line="360" w:lineRule="auto"/>
      <w:ind w:firstLine="708"/>
      <w:jc w:val="both"/>
    </w:pPr>
    <w:rPr>
      <w:color w:val="auto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3A0EA4"/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aliases w:val="Eko punkty,podpunkt,BulletC,Obiekt,List Paragraph1,List Paragraph,Akapit z listą1,Numerowanie,L1,NOWY,Kolorowa lista — akcent 11,Wypunktowanie,Akapit z listą11,Akapit z listą3,normalny,Normal,Wyliczanie,Akapit z listą31,Bullets"/>
    <w:basedOn w:val="Normalny"/>
    <w:link w:val="AkapitzlistZnak"/>
    <w:qFormat/>
    <w:rsid w:val="003A0E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rsid w:val="00A461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AF"/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customStyle="1" w:styleId="AkapitzlistZnak">
    <w:name w:val="Akapit z listą Znak"/>
    <w:aliases w:val="Eko punkty Znak,podpunkt Znak,BulletC Znak,Obiekt Znak,List Paragraph1 Znak,List Paragraph Znak,Akapit z listą1 Znak,Numerowanie Znak,L1 Znak,NOWY Znak,Kolorowa lista — akcent 11 Znak,Wypunktowanie Znak,Akapit z listą11 Znak"/>
    <w:link w:val="Akapitzlist"/>
    <w:uiPriority w:val="34"/>
    <w:qFormat/>
    <w:locked/>
    <w:rsid w:val="009D3664"/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B9097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3BD0"/>
    <w:rPr>
      <w:sz w:val="22"/>
    </w:rPr>
  </w:style>
  <w:style w:type="paragraph" w:styleId="NormalnyWeb">
    <w:name w:val="Normal (Web)"/>
    <w:basedOn w:val="Normalny"/>
    <w:unhideWhenUsed/>
    <w:rsid w:val="00896C63"/>
    <w:pPr>
      <w:suppressAutoHyphens w:val="0"/>
      <w:spacing w:before="100" w:beforeAutospacing="1" w:after="119"/>
    </w:pPr>
    <w:rPr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2108-A275-4C62-971B-F67AE3BA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2021-08-16T09:26:00Z</dcterms:created>
  <dcterms:modified xsi:type="dcterms:W3CDTF">2021-08-16T09:38:00Z</dcterms:modified>
  <dc:language/>
</cp:coreProperties>
</file>