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FF0F1" w14:textId="69FF7065" w:rsidR="009006F0" w:rsidRDefault="009006F0" w:rsidP="009006F0">
      <w:pPr>
        <w:jc w:val="right"/>
      </w:pPr>
      <w:bookmarkStart w:id="0" w:name="_Hlk82519269"/>
      <w:r w:rsidRPr="002D3C10">
        <w:t xml:space="preserve">Konstantynów Łódzki, dn. </w:t>
      </w:r>
      <w:r w:rsidR="007237E7">
        <w:t>20</w:t>
      </w:r>
      <w:r w:rsidRPr="002D3C10">
        <w:t xml:space="preserve"> </w:t>
      </w:r>
      <w:r>
        <w:t>września 2021</w:t>
      </w:r>
      <w:r w:rsidRPr="002D3C10">
        <w:t xml:space="preserve"> r.</w:t>
      </w:r>
    </w:p>
    <w:bookmarkEnd w:id="0"/>
    <w:p w14:paraId="1BA2A0BE" w14:textId="77777777" w:rsidR="00BB0241" w:rsidRDefault="00BB0241" w:rsidP="00567CD3">
      <w:pPr>
        <w:jc w:val="right"/>
        <w:rPr>
          <w:b/>
          <w:bCs/>
        </w:rPr>
      </w:pPr>
    </w:p>
    <w:p w14:paraId="663D2AFD" w14:textId="77777777" w:rsidR="00CD580F" w:rsidRDefault="00CD580F" w:rsidP="007B7EC6"/>
    <w:p w14:paraId="04FC8576" w14:textId="5FC55545" w:rsidR="00CA74C7" w:rsidRPr="00CA74C7" w:rsidRDefault="009006F0" w:rsidP="00CA74C7">
      <w:pPr>
        <w:pStyle w:val="Tekstpodstawowywcity"/>
        <w:ind w:firstLine="0"/>
        <w:rPr>
          <w:rFonts w:eastAsiaTheme="minorHAnsi"/>
          <w:lang w:eastAsia="en-US"/>
        </w:rPr>
      </w:pPr>
      <w:r w:rsidRPr="009006F0">
        <w:rPr>
          <w:rFonts w:eastAsiaTheme="minorHAnsi"/>
          <w:lang w:eastAsia="en-US"/>
        </w:rPr>
        <w:t>OŚ.6220.17-</w:t>
      </w:r>
      <w:r>
        <w:rPr>
          <w:rFonts w:eastAsiaTheme="minorHAnsi"/>
          <w:lang w:eastAsia="en-US"/>
        </w:rPr>
        <w:t>15-1</w:t>
      </w:r>
      <w:r w:rsidRPr="009006F0">
        <w:rPr>
          <w:rFonts w:eastAsiaTheme="minorHAnsi"/>
          <w:lang w:eastAsia="en-US"/>
        </w:rPr>
        <w:t>.2020/21.WK</w:t>
      </w:r>
    </w:p>
    <w:p w14:paraId="731D4BF7" w14:textId="7E829E29" w:rsidR="00CD580F" w:rsidRDefault="007A6B17" w:rsidP="007B7EC6">
      <w:pPr>
        <w:rPr>
          <w:b/>
          <w:bCs/>
          <w:lang w:val="de-DE"/>
        </w:rPr>
      </w:pPr>
      <w:r>
        <w:rPr>
          <w:b/>
          <w:bCs/>
        </w:rPr>
        <w:t xml:space="preserve">Załącznik do decyzji nr </w:t>
      </w:r>
      <w:r w:rsidR="009006F0" w:rsidRPr="009006F0">
        <w:rPr>
          <w:b/>
          <w:bCs/>
        </w:rPr>
        <w:t>OŚ.6220.17-</w:t>
      </w:r>
      <w:r w:rsidR="009006F0">
        <w:rPr>
          <w:b/>
          <w:bCs/>
        </w:rPr>
        <w:t>15</w:t>
      </w:r>
      <w:r w:rsidR="009006F0" w:rsidRPr="009006F0">
        <w:rPr>
          <w:b/>
          <w:bCs/>
        </w:rPr>
        <w:t>.2020/21.WK</w:t>
      </w:r>
    </w:p>
    <w:p w14:paraId="45F83991" w14:textId="77777777" w:rsidR="00CD580F" w:rsidRDefault="00CD580F" w:rsidP="00B95855">
      <w:pPr>
        <w:rPr>
          <w:b/>
        </w:rPr>
      </w:pPr>
    </w:p>
    <w:p w14:paraId="5EC54CCF" w14:textId="63EB8EF1" w:rsidR="00CD580F" w:rsidRDefault="007A6B17" w:rsidP="00343280">
      <w:pPr>
        <w:jc w:val="both"/>
        <w:rPr>
          <w:b/>
        </w:rPr>
      </w:pPr>
      <w:r>
        <w:rPr>
          <w:b/>
        </w:rPr>
        <w:t xml:space="preserve">Charakterystyka planowanego przedsięwzięcia </w:t>
      </w:r>
      <w:r w:rsidR="00343280">
        <w:rPr>
          <w:b/>
        </w:rPr>
        <w:t xml:space="preserve">zgodnie z art. 82 ust. 3 ustawy </w:t>
      </w:r>
      <w:r>
        <w:rPr>
          <w:b/>
        </w:rPr>
        <w:t xml:space="preserve">o udostępnianiu informacji o środowisku i jego ochronie, udziale społeczeństwa w ochronie środowiska oraz o ocenach oddziaływania na środowisko </w:t>
      </w:r>
      <w:r w:rsidR="00CA2D93" w:rsidRPr="00CA2D93">
        <w:rPr>
          <w:b/>
        </w:rPr>
        <w:t>(</w:t>
      </w:r>
      <w:proofErr w:type="spellStart"/>
      <w:r w:rsidR="00CA2D93" w:rsidRPr="00CA2D93">
        <w:rPr>
          <w:b/>
        </w:rPr>
        <w:t>t.j</w:t>
      </w:r>
      <w:proofErr w:type="spellEnd"/>
      <w:r w:rsidR="00CA2D93" w:rsidRPr="00CA2D93">
        <w:rPr>
          <w:b/>
        </w:rPr>
        <w:t>. Dz. U. 2021 poz. 247 ze zm.)</w:t>
      </w:r>
    </w:p>
    <w:p w14:paraId="522098EF" w14:textId="77777777" w:rsidR="00E53690" w:rsidRDefault="00E53690" w:rsidP="00886A4B">
      <w:pPr>
        <w:tabs>
          <w:tab w:val="left" w:pos="426"/>
        </w:tabs>
        <w:jc w:val="both"/>
      </w:pPr>
    </w:p>
    <w:p w14:paraId="1750F9BA" w14:textId="77777777" w:rsidR="00D75228" w:rsidRPr="00267DA2" w:rsidRDefault="00D75228" w:rsidP="00D75228">
      <w:pPr>
        <w:tabs>
          <w:tab w:val="left" w:pos="567"/>
        </w:tabs>
        <w:ind w:firstLine="709"/>
        <w:jc w:val="both"/>
      </w:pPr>
      <w:r w:rsidRPr="00267DA2">
        <w:t xml:space="preserve">Przedsięwzięcie polegać będzie na </w:t>
      </w:r>
      <w:r w:rsidRPr="00267DA2">
        <w:rPr>
          <w:iCs/>
        </w:rPr>
        <w:t xml:space="preserve">budowie Elektrowni Słonecznej wraz </w:t>
      </w:r>
      <w:r>
        <w:rPr>
          <w:iCs/>
        </w:rPr>
        <w:br/>
      </w:r>
      <w:r w:rsidRPr="00267DA2">
        <w:rPr>
          <w:iCs/>
        </w:rPr>
        <w:t xml:space="preserve">z infrastrukturą towarzyszącą na działce o nr </w:t>
      </w:r>
      <w:proofErr w:type="spellStart"/>
      <w:r w:rsidRPr="00267DA2">
        <w:rPr>
          <w:iCs/>
        </w:rPr>
        <w:t>ewid</w:t>
      </w:r>
      <w:proofErr w:type="spellEnd"/>
      <w:r w:rsidRPr="00267DA2">
        <w:rPr>
          <w:iCs/>
        </w:rPr>
        <w:t>. 2/311 w obrębie K-17</w:t>
      </w:r>
      <w:r>
        <w:rPr>
          <w:iCs/>
        </w:rPr>
        <w:t xml:space="preserve"> </w:t>
      </w:r>
      <w:r w:rsidRPr="00267DA2">
        <w:rPr>
          <w:iCs/>
        </w:rPr>
        <w:t>w gminie Konstantynów Łódzki.</w:t>
      </w:r>
      <w:r w:rsidRPr="00267DA2">
        <w:t xml:space="preserve"> </w:t>
      </w:r>
    </w:p>
    <w:p w14:paraId="18891BD4" w14:textId="2B1310C4" w:rsidR="00D75228" w:rsidRPr="00267DA2" w:rsidRDefault="00D75228" w:rsidP="00D75228">
      <w:pPr>
        <w:ind w:firstLine="709"/>
        <w:jc w:val="both"/>
      </w:pPr>
      <w:r w:rsidRPr="00267DA2">
        <w:t xml:space="preserve">Planowane </w:t>
      </w:r>
      <w:r>
        <w:t>p</w:t>
      </w:r>
      <w:r w:rsidRPr="00267DA2">
        <w:t>rzedsięwzięcie realizowane będzie na terenach, które objęte są miejscowym planem zagospodarowania przestrzennego (oznaczone na planie symbolem 4U/P). Reguluje to</w:t>
      </w:r>
      <w:r>
        <w:t> </w:t>
      </w:r>
      <w:r w:rsidRPr="00267DA2">
        <w:t>Uchwała nr LII/393/2014 Rady Miejskiej w Konstantynowie Łódzk</w:t>
      </w:r>
      <w:r>
        <w:t xml:space="preserve">im </w:t>
      </w:r>
      <w:r>
        <w:br/>
        <w:t>z dnia 13 listopada 2014 r.</w:t>
      </w:r>
      <w:r w:rsidRPr="00267DA2">
        <w:t>, w sprawie uchwalenia zmiany miejscowego planu zagospodarowania przestrzennego dla</w:t>
      </w:r>
      <w:r>
        <w:t> </w:t>
      </w:r>
      <w:r w:rsidRPr="00267DA2">
        <w:t xml:space="preserve">części obszaru Konstantynowa Łódzkiego. Dla terenu oznaczonego na rysunku MPZP symbolem 4 U/P (miejsce planowanej inwestycji) dopuszcza się lokalizację przedsięwzięć mogących potencjalnie znacząco oddziaływać na środowisko, w tym </w:t>
      </w:r>
      <w:r w:rsidRPr="00267DA2">
        <w:rPr>
          <w:bCs/>
        </w:rPr>
        <w:t>„urządzeń wytwarzających energię z odnawialnych źródeł energii o mocy przekraczającej 100</w:t>
      </w:r>
      <w:r>
        <w:rPr>
          <w:bCs/>
        </w:rPr>
        <w:t>kW- elektrowni fotowoltaicznych</w:t>
      </w:r>
      <w:r w:rsidRPr="00267DA2">
        <w:rPr>
          <w:bCs/>
        </w:rPr>
        <w:t>”</w:t>
      </w:r>
      <w:r>
        <w:rPr>
          <w:bCs/>
        </w:rPr>
        <w:t>.</w:t>
      </w:r>
    </w:p>
    <w:p w14:paraId="5EFD63E3" w14:textId="77777777" w:rsidR="00D75228" w:rsidRDefault="00D75228" w:rsidP="00D75228">
      <w:pPr>
        <w:pStyle w:val="Default"/>
        <w:jc w:val="both"/>
      </w:pPr>
      <w:r w:rsidRPr="00F65630">
        <w:t xml:space="preserve">Teren budowy elektrowni słonecznej wyniesie </w:t>
      </w:r>
      <w:r w:rsidRPr="00F65630">
        <w:rPr>
          <w:bCs/>
        </w:rPr>
        <w:t xml:space="preserve">do 17,3255 ha </w:t>
      </w:r>
      <w:r w:rsidRPr="00F65630">
        <w:t>w tym :</w:t>
      </w:r>
    </w:p>
    <w:p w14:paraId="39EDED6E" w14:textId="77777777" w:rsidR="00D75228" w:rsidRPr="00F65630" w:rsidRDefault="00D75228" w:rsidP="00D75228">
      <w:pPr>
        <w:pStyle w:val="Default"/>
        <w:numPr>
          <w:ilvl w:val="0"/>
          <w:numId w:val="12"/>
        </w:numPr>
        <w:jc w:val="both"/>
      </w:pPr>
      <w:r>
        <w:t>t</w:t>
      </w:r>
      <w:r w:rsidRPr="00F65630">
        <w:t xml:space="preserve">eren zajęty przez rzędy paneli oraz między panelami wynosi </w:t>
      </w:r>
      <w:r w:rsidRPr="00F65630">
        <w:rPr>
          <w:bCs/>
        </w:rPr>
        <w:t>do 160 000 m²</w:t>
      </w:r>
      <w:r>
        <w:rPr>
          <w:bCs/>
        </w:rPr>
        <w:t>,</w:t>
      </w:r>
    </w:p>
    <w:p w14:paraId="77BA795D" w14:textId="584C3A5D" w:rsidR="00D75228" w:rsidRPr="00F65630" w:rsidRDefault="00D75228" w:rsidP="00D75228">
      <w:pPr>
        <w:pStyle w:val="Default"/>
        <w:numPr>
          <w:ilvl w:val="0"/>
          <w:numId w:val="12"/>
        </w:numPr>
        <w:jc w:val="both"/>
      </w:pPr>
      <w:r>
        <w:rPr>
          <w:bCs/>
        </w:rPr>
        <w:t>t</w:t>
      </w:r>
      <w:r w:rsidRPr="00F65630">
        <w:t xml:space="preserve">eren zajęty przez kontenerowe stacje transformatorowe wyniesie </w:t>
      </w:r>
      <w:r>
        <w:rPr>
          <w:bCs/>
        </w:rPr>
        <w:t>do 600</w:t>
      </w:r>
      <w:r w:rsidR="003E46DD">
        <w:rPr>
          <w:bCs/>
        </w:rPr>
        <w:t xml:space="preserve"> </w:t>
      </w:r>
      <w:r>
        <w:rPr>
          <w:bCs/>
        </w:rPr>
        <w:t>m²,</w:t>
      </w:r>
    </w:p>
    <w:p w14:paraId="47CECDE9" w14:textId="77777777" w:rsidR="00D75228" w:rsidRDefault="00D75228" w:rsidP="00D75228">
      <w:pPr>
        <w:pStyle w:val="Default"/>
        <w:numPr>
          <w:ilvl w:val="0"/>
          <w:numId w:val="12"/>
        </w:numPr>
        <w:jc w:val="both"/>
      </w:pPr>
      <w:r>
        <w:t>t</w:t>
      </w:r>
      <w:r w:rsidRPr="00F65630">
        <w:t xml:space="preserve">eren powierzchni biologicznie czynnej </w:t>
      </w:r>
      <w:r w:rsidRPr="00F65630">
        <w:rPr>
          <w:bCs/>
        </w:rPr>
        <w:t>&gt; 140 000 m</w:t>
      </w:r>
      <w:r>
        <w:rPr>
          <w:bCs/>
          <w:vertAlign w:val="superscript"/>
        </w:rPr>
        <w:t>2</w:t>
      </w:r>
      <w:r>
        <w:rPr>
          <w:bCs/>
        </w:rPr>
        <w:t>,</w:t>
      </w:r>
      <w:r>
        <w:t xml:space="preserve"> </w:t>
      </w:r>
      <w:r w:rsidRPr="00F65630">
        <w:t>(teren pod panelami oraz obszar nieplanowa</w:t>
      </w:r>
      <w:r>
        <w:t>ny pod elementy infrastruktury),</w:t>
      </w:r>
    </w:p>
    <w:p w14:paraId="63BE377D" w14:textId="77777777" w:rsidR="00D75228" w:rsidRPr="00F65630" w:rsidRDefault="00D75228" w:rsidP="00D75228">
      <w:pPr>
        <w:pStyle w:val="Default"/>
        <w:numPr>
          <w:ilvl w:val="0"/>
          <w:numId w:val="12"/>
        </w:numPr>
        <w:jc w:val="both"/>
      </w:pPr>
      <w:r>
        <w:t>t</w:t>
      </w:r>
      <w:r w:rsidRPr="00F65630">
        <w:t xml:space="preserve">eren zatoki postojowej wraz z zapleczem sanitarnym wyniesie </w:t>
      </w:r>
      <w:r w:rsidRPr="00F65630">
        <w:rPr>
          <w:bCs/>
        </w:rPr>
        <w:t xml:space="preserve">do 300m ² </w:t>
      </w:r>
    </w:p>
    <w:p w14:paraId="13639A11" w14:textId="77777777" w:rsidR="00D75228" w:rsidRPr="003A2359" w:rsidRDefault="00D75228" w:rsidP="00D75228">
      <w:pPr>
        <w:ind w:firstLine="709"/>
        <w:jc w:val="both"/>
      </w:pPr>
      <w:r>
        <w:t>Do realizacji przedsięwzięcia</w:t>
      </w:r>
      <w:r w:rsidRPr="003A2359">
        <w:t xml:space="preserve"> konieczne jest posadowienie na gruncie następujących obiektów:</w:t>
      </w:r>
    </w:p>
    <w:p w14:paraId="6F1A47FA" w14:textId="77777777" w:rsidR="00D75228" w:rsidRPr="000C34DA" w:rsidRDefault="00D75228" w:rsidP="00D75228">
      <w:pPr>
        <w:numPr>
          <w:ilvl w:val="0"/>
          <w:numId w:val="11"/>
        </w:numPr>
        <w:jc w:val="both"/>
      </w:pPr>
      <w:r w:rsidRPr="003A2359">
        <w:t xml:space="preserve">zespół paneli fotowoltaicznych </w:t>
      </w:r>
      <w:r w:rsidRPr="003A2359">
        <w:rPr>
          <w:rFonts w:eastAsia="Calibri"/>
          <w:color w:val="000000"/>
        </w:rPr>
        <w:t>umożliwiających przekształcenie energii słonecznej w energię elektryczną – p</w:t>
      </w:r>
      <w:r>
        <w:rPr>
          <w:rFonts w:eastAsia="Calibri"/>
          <w:color w:val="000000"/>
        </w:rPr>
        <w:t>lanowana instalacja zespołu do 6</w:t>
      </w:r>
      <w:r w:rsidRPr="003A2359">
        <w:rPr>
          <w:rFonts w:eastAsia="Calibri"/>
          <w:color w:val="000000"/>
        </w:rPr>
        <w:t>0 000</w:t>
      </w:r>
      <w:r>
        <w:rPr>
          <w:rFonts w:eastAsia="Calibri"/>
          <w:color w:val="000000"/>
        </w:rPr>
        <w:t xml:space="preserve"> sztuk paneli fotowoltaicznych, o mocy pojedynczego modułu od 250 W do 1200 </w:t>
      </w:r>
      <w:proofErr w:type="spellStart"/>
      <w:r>
        <w:rPr>
          <w:rFonts w:eastAsia="Calibri"/>
          <w:color w:val="000000"/>
        </w:rPr>
        <w:t>Wp</w:t>
      </w:r>
      <w:proofErr w:type="spellEnd"/>
      <w:r>
        <w:rPr>
          <w:rFonts w:eastAsia="Calibri"/>
          <w:color w:val="000000"/>
        </w:rPr>
        <w:t xml:space="preserve">. </w:t>
      </w:r>
      <w:r w:rsidRPr="003A2359">
        <w:rPr>
          <w:rFonts w:eastAsia="Calibri"/>
          <w:color w:val="000000"/>
        </w:rPr>
        <w:t>Panele zostaną umieszczone w rzędach, między którymi p</w:t>
      </w:r>
      <w:r>
        <w:rPr>
          <w:rFonts w:eastAsia="Calibri"/>
          <w:color w:val="000000"/>
        </w:rPr>
        <w:t>ozostawiony zostanie odstęp od 4</w:t>
      </w:r>
      <w:r w:rsidRPr="003A2359">
        <w:rPr>
          <w:rFonts w:eastAsia="Calibri"/>
          <w:color w:val="000000"/>
        </w:rPr>
        <w:t xml:space="preserve"> d</w:t>
      </w:r>
      <w:r>
        <w:rPr>
          <w:rFonts w:eastAsia="Calibri"/>
          <w:color w:val="000000"/>
        </w:rPr>
        <w:t>o 15</w:t>
      </w:r>
      <w:r w:rsidRPr="003A2359">
        <w:rPr>
          <w:rFonts w:eastAsia="Calibri"/>
          <w:color w:val="000000"/>
        </w:rPr>
        <w:t xml:space="preserve"> m. Przestrzeń pomiędzy rzędami paneli nie będzie przekształcana i pozostanie biologicznie czynna. W ramach jednego rzędu, panele zostaną połączone za pomocą stalowych konstrukcji i posadowione na podporach – słupkach wkręconych (lub wbitych) w grunt. Wysokość panelu w rzucie bocznym wraz ze słupkiem nie przekroczy </w:t>
      </w:r>
      <w:r>
        <w:rPr>
          <w:rFonts w:eastAsia="Calibri"/>
          <w:color w:val="000000"/>
        </w:rPr>
        <w:t>7</w:t>
      </w:r>
      <w:r w:rsidRPr="003A2359">
        <w:rPr>
          <w:rFonts w:eastAsia="Calibri"/>
          <w:color w:val="000000"/>
        </w:rPr>
        <w:t xml:space="preserve"> m. Panele będą skierowane dokładnie w stronę południową i nachylon</w:t>
      </w:r>
      <w:r>
        <w:rPr>
          <w:rFonts w:eastAsia="Calibri"/>
          <w:color w:val="000000"/>
        </w:rPr>
        <w:t>e do ziemi pod kątem od 20 do 70</w:t>
      </w:r>
      <w:r w:rsidRPr="003A2359">
        <w:rPr>
          <w:rFonts w:eastAsia="Calibri"/>
          <w:color w:val="000000"/>
        </w:rPr>
        <w:t xml:space="preserve"> stopni. Wyposażone zostaną w powłokę </w:t>
      </w:r>
      <w:proofErr w:type="spellStart"/>
      <w:r w:rsidRPr="003A2359">
        <w:rPr>
          <w:rFonts w:eastAsia="Calibri"/>
          <w:color w:val="000000"/>
        </w:rPr>
        <w:t>antyreflesyjną</w:t>
      </w:r>
      <w:proofErr w:type="spellEnd"/>
      <w:r w:rsidRPr="003A2359">
        <w:rPr>
          <w:rFonts w:eastAsia="Calibri"/>
          <w:color w:val="000000"/>
        </w:rPr>
        <w:t>, zapobiegającą efektowi olśnienia</w:t>
      </w:r>
      <w:r>
        <w:rPr>
          <w:color w:val="000000"/>
        </w:rPr>
        <w:t>;</w:t>
      </w:r>
    </w:p>
    <w:p w14:paraId="5E483ECD" w14:textId="77777777" w:rsidR="00D75228" w:rsidRDefault="00D75228" w:rsidP="00D75228">
      <w:pPr>
        <w:numPr>
          <w:ilvl w:val="0"/>
          <w:numId w:val="11"/>
        </w:numPr>
        <w:jc w:val="both"/>
      </w:pPr>
      <w:r w:rsidRPr="000C34DA">
        <w:t>inwertery fotowo</w:t>
      </w:r>
      <w:r>
        <w:t>ltaiczne w ilości do 200 sztuk,</w:t>
      </w:r>
      <w:r w:rsidRPr="000C34DA">
        <w:t xml:space="preserve"> przytwierdzone do konstru</w:t>
      </w:r>
      <w:r>
        <w:t>kcji montażowej, nie połączone</w:t>
      </w:r>
      <w:r w:rsidRPr="000C34DA">
        <w:t xml:space="preserve"> z gruntem- wybór producenta oraz technologii nastąpi na etapie pozwolenia na budowę. </w:t>
      </w:r>
      <w:r>
        <w:t>M</w:t>
      </w:r>
      <w:r w:rsidRPr="000C34DA">
        <w:t>oże okazać się, że zainstalowanych będzie mniejsza ilość inwerterów większej mocy jednostkowej lub więcej o mniejszej mocy, jednakże uzależnione jest to od marki paneli oraz zastosowanych rozwiązań inwestycyjnych</w:t>
      </w:r>
      <w:r>
        <w:t>;</w:t>
      </w:r>
    </w:p>
    <w:p w14:paraId="149E176A" w14:textId="77777777" w:rsidR="00D75228" w:rsidRPr="000C34DA" w:rsidRDefault="00D75228" w:rsidP="00D75228">
      <w:pPr>
        <w:numPr>
          <w:ilvl w:val="0"/>
          <w:numId w:val="11"/>
        </w:numPr>
        <w:jc w:val="both"/>
      </w:pPr>
      <w:r w:rsidRPr="000C34DA">
        <w:rPr>
          <w:bCs/>
        </w:rPr>
        <w:lastRenderedPageBreak/>
        <w:t xml:space="preserve">kontenerowa stacja transformatorowo-rozdzielcza </w:t>
      </w:r>
      <w:proofErr w:type="spellStart"/>
      <w:r w:rsidRPr="000C34DA">
        <w:rPr>
          <w:bCs/>
        </w:rPr>
        <w:t>nn</w:t>
      </w:r>
      <w:proofErr w:type="spellEnd"/>
      <w:r w:rsidRPr="000C34DA">
        <w:rPr>
          <w:bCs/>
        </w:rPr>
        <w:t xml:space="preserve">/SN </w:t>
      </w:r>
      <w:r w:rsidRPr="000C34DA">
        <w:t>o wymiarach do ok. 15</w:t>
      </w:r>
      <w:r>
        <w:t xml:space="preserve"> </w:t>
      </w:r>
      <w:r w:rsidRPr="000C34DA">
        <w:t xml:space="preserve">m </w:t>
      </w:r>
      <w:r>
        <w:br/>
      </w:r>
      <w:r w:rsidRPr="000C34DA">
        <w:t>x 10</w:t>
      </w:r>
      <w:r>
        <w:t xml:space="preserve"> </w:t>
      </w:r>
      <w:r w:rsidRPr="000C34DA">
        <w:t>m i</w:t>
      </w:r>
      <w:r>
        <w:t> </w:t>
      </w:r>
      <w:r w:rsidRPr="000C34DA">
        <w:t>wysokości do ok. 5</w:t>
      </w:r>
      <w:r>
        <w:t xml:space="preserve"> </w:t>
      </w:r>
      <w:r w:rsidRPr="000C34DA">
        <w:t>m, z ewentualnym magazynem energii. Na terenie działki objętej inwestycją usytuowanych zostanie do 4 kontenerowych stacji transformatorowo – rozdzielczych (w każdej umieszczonych zostanie do 2 transformatorów). Aby zminimalizować ewentualną uciążliwość tego typu infrastruktury technicznej stacje zostaną zlokalizowane z dala od zabudowań mieszkalnych. Jednakże dokładna ich lokalizacja określona zostanie dopiero w momencie wykonywania projektów budowlanych. W chwili obecnej inwestor nie posiada warunków przyłączenia do sieci.</w:t>
      </w:r>
    </w:p>
    <w:p w14:paraId="0FF5084A" w14:textId="77777777" w:rsidR="00D75228" w:rsidRPr="008C1F8C" w:rsidRDefault="00D75228" w:rsidP="00D75228">
      <w:pPr>
        <w:numPr>
          <w:ilvl w:val="0"/>
          <w:numId w:val="11"/>
        </w:numPr>
        <w:jc w:val="both"/>
      </w:pPr>
      <w:r w:rsidRPr="00F65630">
        <w:t>ogrodzenie –</w:t>
      </w:r>
      <w:r w:rsidRPr="003A2359">
        <w:t xml:space="preserve"> planuje się budowę ogrodzenia terenu inwestycji (bez podmurówki), </w:t>
      </w:r>
      <w:r>
        <w:br/>
      </w:r>
      <w:r w:rsidRPr="003A2359">
        <w:t xml:space="preserve">z </w:t>
      </w:r>
      <w:r>
        <w:t xml:space="preserve">wolną </w:t>
      </w:r>
      <w:r w:rsidRPr="003A2359">
        <w:t>przestrzenią od poziomu dolnej krawędzi ogrodzenia.</w:t>
      </w:r>
    </w:p>
    <w:p w14:paraId="464BBD00" w14:textId="77777777" w:rsidR="00D75228" w:rsidRPr="008C1F8C" w:rsidRDefault="00D75228" w:rsidP="00D75228">
      <w:pPr>
        <w:ind w:firstLine="709"/>
        <w:jc w:val="both"/>
        <w:rPr>
          <w:spacing w:val="2"/>
        </w:rPr>
      </w:pPr>
      <w:r w:rsidRPr="008C1F8C">
        <w:rPr>
          <w:spacing w:val="2"/>
        </w:rPr>
        <w:t xml:space="preserve">Po zrealizowaniu planowanego przedsięwzięcia </w:t>
      </w:r>
      <w:r w:rsidRPr="008C1F8C">
        <w:t>większość terenu stanowiła będzie powierzchnia biologicznie czynna, która obejmowała będzie zarówno obszar pod oraz pomiędzy panelami fotowoltaicznymi, jak również obszar nie planowany pod elementy infrastruktury.</w:t>
      </w:r>
    </w:p>
    <w:p w14:paraId="7E22C79E" w14:textId="77777777" w:rsidR="00D75228" w:rsidRPr="00DD725F" w:rsidRDefault="00D75228" w:rsidP="006C6CF4">
      <w:pPr>
        <w:pStyle w:val="Tekstpodstawowywcity"/>
        <w:spacing w:line="240" w:lineRule="auto"/>
        <w:ind w:firstLine="0"/>
      </w:pPr>
    </w:p>
    <w:p w14:paraId="5A8E5ED6" w14:textId="30ABF647" w:rsidR="00D316AE" w:rsidRPr="004947B0" w:rsidRDefault="0023177C" w:rsidP="004947B0">
      <w:pPr>
        <w:jc w:val="both"/>
        <w:rPr>
          <w:b/>
        </w:rPr>
      </w:pPr>
      <w:r w:rsidRPr="00DD725F">
        <w:rPr>
          <w:b/>
        </w:rPr>
        <w:t xml:space="preserve">Emisja </w:t>
      </w:r>
      <w:r w:rsidR="003E4EFA">
        <w:rPr>
          <w:b/>
        </w:rPr>
        <w:t>hałasu</w:t>
      </w:r>
    </w:p>
    <w:p w14:paraId="575C7566" w14:textId="461DE498" w:rsidR="00D75228" w:rsidRDefault="00D75228" w:rsidP="00D75228">
      <w:pPr>
        <w:autoSpaceDE w:val="0"/>
        <w:ind w:firstLine="709"/>
        <w:jc w:val="both"/>
      </w:pPr>
      <w:r>
        <w:rPr>
          <w:rFonts w:eastAsia="TimesNewRomanPSMT"/>
        </w:rPr>
        <w:t>Z</w:t>
      </w:r>
      <w:r w:rsidRPr="00D51B79">
        <w:rPr>
          <w:rFonts w:eastAsia="TimesNewRomanPSMT"/>
        </w:rPr>
        <w:t xml:space="preserve">większone oddziaływanie (głównie emisja hałasu) wystąpi na etapie prac budowlanych </w:t>
      </w:r>
      <w:r>
        <w:rPr>
          <w:rFonts w:eastAsia="TimesNewRomanPSMT"/>
        </w:rPr>
        <w:br/>
      </w:r>
      <w:r w:rsidRPr="00D51B79">
        <w:rPr>
          <w:rFonts w:eastAsia="TimesNewRomanPSMT"/>
        </w:rPr>
        <w:t xml:space="preserve">i będzie głównie związane z transportem oraz montowaniem stelaży i paneli fotowoltaicznych, prowadzeniem wykopów pod instalacje kablowe oraz ogrodzenie. </w:t>
      </w:r>
      <w:r w:rsidRPr="00D51B79">
        <w:t xml:space="preserve">Oddziaływania akustyczne związane będą z wykonywaniem prac montażowych, pracą sprzętu </w:t>
      </w:r>
      <w:r w:rsidRPr="00D51B79">
        <w:rPr>
          <w:spacing w:val="-2"/>
        </w:rPr>
        <w:t>budowlanego</w:t>
      </w:r>
      <w:r w:rsidRPr="00D51B79">
        <w:t xml:space="preserve"> oraz transportem. Hałas powstający na etapie budowy jest hałasem zmiennym w czasie, okresowym, krótkotrwałym i ustąpi po zakończeniu robót. Uciążliwość oraz zasięg oddziaływania hałasu związanego z robotami budowlanymi zależeć będą od typu i liczby równocześnie pracujących maszyn oraz czasu ich pracy.</w:t>
      </w:r>
    </w:p>
    <w:p w14:paraId="7ABB5D3D" w14:textId="70253B5B" w:rsidR="008843BA" w:rsidRPr="008843BA" w:rsidRDefault="008843BA" w:rsidP="008843BA">
      <w:pPr>
        <w:tabs>
          <w:tab w:val="left" w:pos="0"/>
        </w:tabs>
        <w:jc w:val="both"/>
      </w:pPr>
      <w:r w:rsidRPr="008843BA">
        <w:rPr>
          <w:bCs/>
        </w:rPr>
        <w:tab/>
      </w:r>
      <w:r w:rsidR="004B0B5F">
        <w:rPr>
          <w:bCs/>
        </w:rPr>
        <w:t xml:space="preserve">Wymagania w </w:t>
      </w:r>
      <w:r w:rsidRPr="008843BA">
        <w:rPr>
          <w:bCs/>
        </w:rPr>
        <w:t>zakresie ochrony przed hałasem w trakcie prowadzenia prac budowlanych:</w:t>
      </w:r>
    </w:p>
    <w:p w14:paraId="00F4F60F" w14:textId="77777777" w:rsidR="008843BA" w:rsidRPr="000D2F96" w:rsidRDefault="008843BA" w:rsidP="008843BA">
      <w:pPr>
        <w:numPr>
          <w:ilvl w:val="0"/>
          <w:numId w:val="14"/>
        </w:numPr>
        <w:ind w:hanging="294"/>
        <w:jc w:val="both"/>
      </w:pPr>
      <w:r w:rsidRPr="000D2F96">
        <w:t>w sąsiedztwie terenów chronionych akustycznie, prace budowlane z użyciem urządzeń mechanicznych prowadzić wyłącznie w porze dziennej (w godz. 6</w:t>
      </w:r>
      <w:r w:rsidRPr="000D2F96">
        <w:rPr>
          <w:vertAlign w:val="superscript"/>
        </w:rPr>
        <w:t>00</w:t>
      </w:r>
      <w:r w:rsidRPr="000D2F96">
        <w:t xml:space="preserve"> ÷ 22</w:t>
      </w:r>
      <w:r w:rsidRPr="000D2F96">
        <w:rPr>
          <w:vertAlign w:val="superscript"/>
        </w:rPr>
        <w:t>00</w:t>
      </w:r>
      <w:r w:rsidRPr="000D2F96">
        <w:t>),</w:t>
      </w:r>
    </w:p>
    <w:p w14:paraId="50904B88" w14:textId="77777777" w:rsidR="008843BA" w:rsidRPr="000D2F96" w:rsidRDefault="008843BA" w:rsidP="008843BA">
      <w:pPr>
        <w:numPr>
          <w:ilvl w:val="0"/>
          <w:numId w:val="14"/>
        </w:numPr>
        <w:ind w:hanging="294"/>
        <w:jc w:val="both"/>
      </w:pPr>
      <w:r w:rsidRPr="000D2F96">
        <w:t>eliminować z pracy niesprawne urządzenia techniczne mogące powodować podwyższony poziom hałasu w ich otoczeniu,</w:t>
      </w:r>
    </w:p>
    <w:p w14:paraId="4AAE6F15" w14:textId="77777777" w:rsidR="008843BA" w:rsidRPr="000D2F96" w:rsidRDefault="008843BA" w:rsidP="008843BA">
      <w:pPr>
        <w:numPr>
          <w:ilvl w:val="0"/>
          <w:numId w:val="14"/>
        </w:numPr>
        <w:ind w:hanging="294"/>
        <w:jc w:val="both"/>
      </w:pPr>
      <w:r w:rsidRPr="000D2F96">
        <w:t>należy przestrzegać zasady wyłączania silników podczas przerw w pracy.</w:t>
      </w:r>
    </w:p>
    <w:p w14:paraId="618840E2" w14:textId="77777777" w:rsidR="00D75228" w:rsidRPr="00DD725F" w:rsidRDefault="00D75228" w:rsidP="00DD725F">
      <w:pPr>
        <w:jc w:val="both"/>
        <w:rPr>
          <w:b/>
        </w:rPr>
      </w:pPr>
    </w:p>
    <w:p w14:paraId="7CCC26DA" w14:textId="5013D51D" w:rsidR="00A46125" w:rsidRPr="004947B0" w:rsidRDefault="0023177C" w:rsidP="004947B0">
      <w:pPr>
        <w:jc w:val="both"/>
        <w:rPr>
          <w:b/>
        </w:rPr>
      </w:pPr>
      <w:r w:rsidRPr="00DD725F">
        <w:rPr>
          <w:b/>
        </w:rPr>
        <w:t>Emisja pyłów i gazów</w:t>
      </w:r>
    </w:p>
    <w:p w14:paraId="1C4C7722" w14:textId="38DBD5E8" w:rsidR="00D75228" w:rsidRPr="00F60ABA" w:rsidRDefault="00D75228" w:rsidP="00D75228">
      <w:pPr>
        <w:pStyle w:val="Default"/>
        <w:ind w:firstLine="709"/>
        <w:jc w:val="both"/>
        <w:rPr>
          <w:rFonts w:eastAsia="Arial Unicode MS"/>
          <w:color w:val="auto"/>
        </w:rPr>
      </w:pPr>
      <w:r w:rsidRPr="00F60ABA">
        <w:rPr>
          <w:rStyle w:val="FontStyle114"/>
          <w:rFonts w:ascii="Times New Roman" w:hAnsi="Times New Roman" w:cs="Times New Roman"/>
          <w:color w:val="auto"/>
          <w:sz w:val="24"/>
          <w:szCs w:val="24"/>
        </w:rPr>
        <w:t xml:space="preserve">Eksploatacja przedmiotowej instalacji nie będzie wiązała się z emisją substancji do powietrza. </w:t>
      </w:r>
    </w:p>
    <w:p w14:paraId="15AFABC8" w14:textId="77777777" w:rsidR="00D75228" w:rsidRDefault="00D75228" w:rsidP="004947B0">
      <w:pPr>
        <w:jc w:val="both"/>
      </w:pPr>
    </w:p>
    <w:p w14:paraId="645F37C2" w14:textId="431F642A" w:rsidR="00890B19" w:rsidRPr="00F20851" w:rsidRDefault="007A6B17" w:rsidP="00F20851">
      <w:pPr>
        <w:jc w:val="both"/>
        <w:rPr>
          <w:b/>
        </w:rPr>
      </w:pPr>
      <w:r w:rsidRPr="00DD725F">
        <w:rPr>
          <w:b/>
        </w:rPr>
        <w:t>Emisja</w:t>
      </w:r>
      <w:r w:rsidR="0023177C" w:rsidRPr="00DD725F">
        <w:rPr>
          <w:b/>
        </w:rPr>
        <w:t xml:space="preserve"> ścieków bytowych i deszczowych</w:t>
      </w:r>
      <w:r w:rsidR="00890B19" w:rsidRPr="007878C3">
        <w:t xml:space="preserve"> </w:t>
      </w:r>
    </w:p>
    <w:p w14:paraId="62AA0382" w14:textId="4B7A2525" w:rsidR="00D75228" w:rsidRPr="00F60ABA" w:rsidRDefault="00D75228" w:rsidP="00D75228">
      <w:pPr>
        <w:pStyle w:val="Default"/>
        <w:ind w:firstLine="709"/>
        <w:jc w:val="both"/>
        <w:rPr>
          <w:rFonts w:eastAsia="Arial Unicode MS"/>
          <w:color w:val="auto"/>
        </w:rPr>
      </w:pPr>
      <w:bookmarkStart w:id="1" w:name="_Hlk82600816"/>
      <w:r w:rsidRPr="00F60ABA">
        <w:rPr>
          <w:rStyle w:val="FontStyle114"/>
          <w:rFonts w:ascii="Times New Roman" w:hAnsi="Times New Roman" w:cs="Times New Roman"/>
          <w:color w:val="auto"/>
          <w:sz w:val="24"/>
          <w:szCs w:val="24"/>
        </w:rPr>
        <w:t>Eksploatacja przedmiotowej instalacji nie będzie wiązała się z poborem wody</w:t>
      </w:r>
      <w:r w:rsidR="008843BA">
        <w:rPr>
          <w:rStyle w:val="FontStyle114"/>
          <w:rFonts w:ascii="Times New Roman" w:hAnsi="Times New Roman" w:cs="Times New Roman"/>
          <w:color w:val="auto"/>
          <w:sz w:val="24"/>
          <w:szCs w:val="24"/>
        </w:rPr>
        <w:t xml:space="preserve"> oraz </w:t>
      </w:r>
      <w:r w:rsidRPr="00F60ABA">
        <w:rPr>
          <w:rStyle w:val="FontStyle114"/>
          <w:rFonts w:ascii="Times New Roman" w:hAnsi="Times New Roman" w:cs="Times New Roman"/>
          <w:color w:val="auto"/>
          <w:sz w:val="24"/>
          <w:szCs w:val="24"/>
        </w:rPr>
        <w:t>wprowadzaniem ścieków do środowiska</w:t>
      </w:r>
      <w:r>
        <w:rPr>
          <w:rStyle w:val="FontStyle114"/>
          <w:rFonts w:ascii="Times New Roman" w:hAnsi="Times New Roman" w:cs="Times New Roman"/>
          <w:color w:val="auto"/>
          <w:sz w:val="24"/>
          <w:szCs w:val="24"/>
        </w:rPr>
        <w:t>.</w:t>
      </w:r>
    </w:p>
    <w:bookmarkEnd w:id="1"/>
    <w:p w14:paraId="24C63347" w14:textId="77777777" w:rsidR="00D75228" w:rsidRPr="00DD725F" w:rsidRDefault="00D75228" w:rsidP="00DD725F">
      <w:pPr>
        <w:jc w:val="both"/>
      </w:pPr>
    </w:p>
    <w:p w14:paraId="341E9BDF" w14:textId="4EAABE9C" w:rsidR="003F6F43" w:rsidRPr="002D1CC9" w:rsidRDefault="0023177C" w:rsidP="00DD725F">
      <w:pPr>
        <w:jc w:val="both"/>
        <w:rPr>
          <w:b/>
        </w:rPr>
      </w:pPr>
      <w:r w:rsidRPr="00DD725F">
        <w:rPr>
          <w:b/>
        </w:rPr>
        <w:t>Emisja odpadów</w:t>
      </w:r>
    </w:p>
    <w:p w14:paraId="6629FAD5" w14:textId="398DB056" w:rsidR="008843BA" w:rsidRDefault="008843BA" w:rsidP="008843BA">
      <w:pPr>
        <w:autoSpaceDE w:val="0"/>
        <w:ind w:firstLine="709"/>
        <w:jc w:val="both"/>
        <w:rPr>
          <w:rFonts w:eastAsia="TimesNewRomanPSMT"/>
          <w:color w:val="FF0000"/>
          <w:lang w:eastAsia="pl-PL"/>
        </w:rPr>
      </w:pPr>
      <w:r w:rsidRPr="00F60ABA">
        <w:t xml:space="preserve">Na etapie prowadzonych prac budowlanych wytworzone zostaną odpady o kodach: 15 01 01, 15 01 02, </w:t>
      </w:r>
      <w:r w:rsidRPr="00F60ABA">
        <w:rPr>
          <w:spacing w:val="-2"/>
        </w:rPr>
        <w:t>15 01 04,</w:t>
      </w:r>
      <w:r w:rsidRPr="00F60ABA">
        <w:t xml:space="preserve"> </w:t>
      </w:r>
      <w:r w:rsidRPr="00F60ABA">
        <w:rPr>
          <w:spacing w:val="-2"/>
        </w:rPr>
        <w:t>15 02 07, 16 02 06, 17 02 01, 17 06 04, 20 03 04.</w:t>
      </w:r>
      <w:r w:rsidRPr="00F60ABA">
        <w:rPr>
          <w:color w:val="FF0000"/>
          <w:spacing w:val="-2"/>
        </w:rPr>
        <w:t xml:space="preserve"> </w:t>
      </w:r>
      <w:r w:rsidRPr="00F60ABA">
        <w:rPr>
          <w:rFonts w:eastAsia="TimesNewRomanPSMT"/>
          <w:lang w:eastAsia="pl-PL"/>
        </w:rPr>
        <w:t xml:space="preserve">W trakcie prowadzenia prac montażowych odpady będą selektywnie zbierane i gromadzone </w:t>
      </w:r>
      <w:r>
        <w:rPr>
          <w:rFonts w:eastAsia="TimesNewRomanPSMT"/>
          <w:lang w:eastAsia="pl-PL"/>
        </w:rPr>
        <w:br/>
      </w:r>
      <w:r w:rsidRPr="00F60ABA">
        <w:rPr>
          <w:rFonts w:eastAsia="TimesNewRomanPSMT"/>
          <w:lang w:eastAsia="pl-PL"/>
        </w:rPr>
        <w:t>w szczelnych pojemnikach ustawionych w wyznaczonym miejscu zaplecza budowlanego. Po zakończeniu robót budowlanych i montażowych odpady zostaną przekazane firmom zewnętrznym posiadającym wymagane prawem zezwolenia na przetwarzanie odpadów danego rodzaju w celu odzysku lub unieszkodliwienia.</w:t>
      </w:r>
      <w:r w:rsidRPr="00F60ABA">
        <w:rPr>
          <w:rFonts w:eastAsia="TimesNewRomanPSMT"/>
          <w:color w:val="FF0000"/>
          <w:lang w:eastAsia="pl-PL"/>
        </w:rPr>
        <w:t xml:space="preserve"> </w:t>
      </w:r>
    </w:p>
    <w:p w14:paraId="60A6D04D" w14:textId="7C06F0EA" w:rsidR="00A70D65" w:rsidRPr="00072C45" w:rsidRDefault="007844E6" w:rsidP="00A70D65">
      <w:pPr>
        <w:ind w:firstLine="708"/>
        <w:jc w:val="both"/>
      </w:pPr>
      <w:r>
        <w:rPr>
          <w:bCs/>
        </w:rPr>
        <w:t>Wymagania w</w:t>
      </w:r>
      <w:r w:rsidR="00A70D65" w:rsidRPr="00072C45">
        <w:rPr>
          <w:bCs/>
        </w:rPr>
        <w:t xml:space="preserve"> zakresie gospodarowania odpadami:</w:t>
      </w:r>
    </w:p>
    <w:p w14:paraId="7A91F35C" w14:textId="77777777" w:rsidR="00A70D65" w:rsidRPr="000D2F96" w:rsidRDefault="00A70D65" w:rsidP="00A70D65">
      <w:pPr>
        <w:numPr>
          <w:ilvl w:val="0"/>
          <w:numId w:val="16"/>
        </w:numPr>
        <w:jc w:val="both"/>
      </w:pPr>
      <w:r w:rsidRPr="000D2F96">
        <w:lastRenderedPageBreak/>
        <w:t>odpady niebezpieczne magazynować w szczelnych i oznakowanych pojemnikach, w miejscu do tego przystosowanym,</w:t>
      </w:r>
    </w:p>
    <w:p w14:paraId="4C320503" w14:textId="5E308E0C" w:rsidR="00A70D65" w:rsidRPr="000D2F96" w:rsidRDefault="00A70D65" w:rsidP="00A70D65">
      <w:pPr>
        <w:numPr>
          <w:ilvl w:val="0"/>
          <w:numId w:val="16"/>
        </w:numPr>
        <w:jc w:val="both"/>
      </w:pPr>
      <w:r w:rsidRPr="000D2F96">
        <w:rPr>
          <w:rFonts w:eastAsia="ArialNarrow"/>
          <w:lang w:eastAsia="pl-PL"/>
        </w:rPr>
        <w:t>odpady gromadzić w warunkach zapewniających zatrzymanie ewentualnych odcieków i uniemożliwienie przenikania ich do środowiska gruntowo-wodnego, tj. w odpowiednich pojemnikach ustawionych na utwardzonym podłożu, z ograniczonym dostępem dla osób trzecich</w:t>
      </w:r>
      <w:r w:rsidRPr="000D2F96">
        <w:t>.</w:t>
      </w:r>
    </w:p>
    <w:p w14:paraId="1F591C7C" w14:textId="77777777" w:rsidR="008843BA" w:rsidRPr="00DD725F" w:rsidRDefault="008843BA" w:rsidP="00DD725F">
      <w:pPr>
        <w:jc w:val="both"/>
      </w:pPr>
    </w:p>
    <w:p w14:paraId="175A66BE" w14:textId="008FF237" w:rsidR="009D7951" w:rsidRPr="00374B62" w:rsidRDefault="007A6B17" w:rsidP="00886A4B">
      <w:pPr>
        <w:jc w:val="both"/>
        <w:rPr>
          <w:b/>
        </w:rPr>
      </w:pPr>
      <w:r w:rsidRPr="00DD725F">
        <w:rPr>
          <w:b/>
        </w:rPr>
        <w:t>Oddziaływania na obszary chronione</w:t>
      </w:r>
    </w:p>
    <w:p w14:paraId="44178C68" w14:textId="77777777" w:rsidR="008843BA" w:rsidRPr="00F60ABA" w:rsidRDefault="008843BA" w:rsidP="008843BA">
      <w:pPr>
        <w:ind w:firstLine="708"/>
        <w:jc w:val="both"/>
        <w:rPr>
          <w:iCs/>
        </w:rPr>
      </w:pPr>
      <w:r w:rsidRPr="00F60ABA">
        <w:rPr>
          <w:iCs/>
        </w:rPr>
        <w:t xml:space="preserve">Teren przeznaczony pod ww. przedsięwzięcie, położony jest poza obszarami objętymi ochroną na podstawie ustawy z dnia 16 kwietnia 2004 r. o ochronie przyrody </w:t>
      </w:r>
      <w:r w:rsidRPr="00F60ABA">
        <w:t>(</w:t>
      </w:r>
      <w:proofErr w:type="spellStart"/>
      <w:r w:rsidRPr="00F60ABA">
        <w:t>t.j</w:t>
      </w:r>
      <w:proofErr w:type="spellEnd"/>
      <w:r w:rsidRPr="00F60ABA">
        <w:t xml:space="preserve">. Dz. U. </w:t>
      </w:r>
      <w:r>
        <w:br/>
      </w:r>
      <w:r w:rsidRPr="00F60ABA">
        <w:t>z 2021 r. poz. 1098)</w:t>
      </w:r>
      <w:r w:rsidRPr="00F60ABA">
        <w:rPr>
          <w:iCs/>
        </w:rPr>
        <w:t xml:space="preserve">. </w:t>
      </w:r>
      <w:r w:rsidRPr="00F60ABA">
        <w:t>W promieniu do 5 km od granic przedsięwzięcia</w:t>
      </w:r>
      <w:r w:rsidRPr="00F60ABA">
        <w:rPr>
          <w:color w:val="FF0000"/>
        </w:rPr>
        <w:t xml:space="preserve"> </w:t>
      </w:r>
      <w:r w:rsidRPr="00F60ABA">
        <w:rPr>
          <w:iCs/>
        </w:rPr>
        <w:t xml:space="preserve">znajdują się następujące formy ochrony przyrody: </w:t>
      </w:r>
    </w:p>
    <w:p w14:paraId="56725A28" w14:textId="77777777" w:rsidR="008843BA" w:rsidRPr="00F60ABA" w:rsidRDefault="008843BA" w:rsidP="008843BA">
      <w:pPr>
        <w:numPr>
          <w:ilvl w:val="0"/>
          <w:numId w:val="13"/>
        </w:numPr>
        <w:jc w:val="both"/>
        <w:rPr>
          <w:iCs/>
        </w:rPr>
      </w:pPr>
      <w:r w:rsidRPr="00F60ABA">
        <w:rPr>
          <w:iCs/>
        </w:rPr>
        <w:t>zespół przyrodniczo-krajobrazowy Międzyrzecze Neru i Dobrzynki w odległości ok. 3,6 km,</w:t>
      </w:r>
    </w:p>
    <w:p w14:paraId="7BF98B57" w14:textId="77777777" w:rsidR="008843BA" w:rsidRPr="00F60ABA" w:rsidRDefault="008843BA" w:rsidP="008843BA">
      <w:pPr>
        <w:numPr>
          <w:ilvl w:val="0"/>
          <w:numId w:val="13"/>
        </w:numPr>
        <w:jc w:val="both"/>
        <w:rPr>
          <w:iCs/>
        </w:rPr>
      </w:pPr>
      <w:r w:rsidRPr="00F60ABA">
        <w:t>rezerwat przyrody Polesie Konstantynowskie w odległości ok. 4,1 km.</w:t>
      </w:r>
    </w:p>
    <w:p w14:paraId="2F638E81" w14:textId="77777777" w:rsidR="008843BA" w:rsidRPr="00F60ABA" w:rsidRDefault="008843BA" w:rsidP="008843BA">
      <w:pPr>
        <w:tabs>
          <w:tab w:val="left" w:pos="851"/>
        </w:tabs>
        <w:ind w:firstLine="709"/>
        <w:jc w:val="both"/>
      </w:pPr>
      <w:r w:rsidRPr="00F60ABA">
        <w:t>Planowane przedsięwzięcie nie sąsiaduje bezpośrednio z obszarami Natura 2000. Najbliżej zlokalizowanym obszarem należącym do europejskiej sieci ekologicznej Natura 2000 od planowanego przedsięwzięcia jest specjalny obszar ochrony siedlisk Grądy nad Lindą PLH100022 – w odległości ok. 12,5 km.</w:t>
      </w:r>
    </w:p>
    <w:p w14:paraId="4E38D1DE" w14:textId="486DC399" w:rsidR="00CD580F" w:rsidRDefault="008843BA" w:rsidP="008843BA">
      <w:pPr>
        <w:tabs>
          <w:tab w:val="left" w:pos="709"/>
          <w:tab w:val="left" w:pos="851"/>
        </w:tabs>
        <w:ind w:firstLine="709"/>
        <w:jc w:val="both"/>
      </w:pPr>
      <w:r w:rsidRPr="00F60ABA">
        <w:t>Z uwagi na rodzaj i charakterystykę, skalę oraz odległość farma fotowoltaiczna nie będzie miała znaczącego negatywnego oddziaływania na cele ochrony, przedmioty ochrony, integralność obszarów i spójność Europejskiej Sieci Ekologicznej Natura 2000. Planowana inwestycja nie będzie przecinać się z żadnym z korytarzy ekologicznych.</w:t>
      </w:r>
    </w:p>
    <w:sectPr w:rsidR="00CD580F">
      <w:pgSz w:w="12240" w:h="15840"/>
      <w:pgMar w:top="1417" w:right="1417" w:bottom="1276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26E1" w14:textId="77777777" w:rsidR="0029023F" w:rsidRDefault="0029023F">
      <w:r>
        <w:separator/>
      </w:r>
    </w:p>
  </w:endnote>
  <w:endnote w:type="continuationSeparator" w:id="0">
    <w:p w14:paraId="005D20E8" w14:textId="77777777" w:rsidR="0029023F" w:rsidRDefault="0029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Cambria"/>
    <w:charset w:val="01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008C" w14:textId="77777777" w:rsidR="0029023F" w:rsidRDefault="0029023F">
      <w:r>
        <w:separator/>
      </w:r>
    </w:p>
  </w:footnote>
  <w:footnote w:type="continuationSeparator" w:id="0">
    <w:p w14:paraId="330B76FC" w14:textId="77777777" w:rsidR="0029023F" w:rsidRDefault="0029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7C401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―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  <w:sz w:val="24"/>
        <w:szCs w:val="24"/>
      </w:rPr>
    </w:lvl>
  </w:abstractNum>
  <w:abstractNum w:abstractNumId="3" w15:restartNumberingAfterBreak="0">
    <w:nsid w:val="11E23ED6"/>
    <w:multiLevelType w:val="hybridMultilevel"/>
    <w:tmpl w:val="A8A8CE10"/>
    <w:lvl w:ilvl="0" w:tplc="4AA4D796">
      <w:start w:val="1"/>
      <w:numFmt w:val="bullet"/>
      <w:lvlText w:val=""/>
      <w:lvlJc w:val="left"/>
      <w:pPr>
        <w:ind w:left="-3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</w:abstractNum>
  <w:abstractNum w:abstractNumId="4" w15:restartNumberingAfterBreak="0">
    <w:nsid w:val="15022AF8"/>
    <w:multiLevelType w:val="hybridMultilevel"/>
    <w:tmpl w:val="698699DA"/>
    <w:lvl w:ilvl="0" w:tplc="FC3644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8F165F"/>
    <w:multiLevelType w:val="hybridMultilevel"/>
    <w:tmpl w:val="BDB2CC22"/>
    <w:lvl w:ilvl="0" w:tplc="3434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00797"/>
    <w:multiLevelType w:val="hybridMultilevel"/>
    <w:tmpl w:val="DD882CA0"/>
    <w:lvl w:ilvl="0" w:tplc="FC3644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B853CE"/>
    <w:multiLevelType w:val="hybridMultilevel"/>
    <w:tmpl w:val="8B8277C0"/>
    <w:lvl w:ilvl="0" w:tplc="19B0B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868F9"/>
    <w:multiLevelType w:val="hybridMultilevel"/>
    <w:tmpl w:val="B6243BFE"/>
    <w:lvl w:ilvl="0" w:tplc="EDC8A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77B78"/>
    <w:multiLevelType w:val="hybridMultilevel"/>
    <w:tmpl w:val="0444E89C"/>
    <w:lvl w:ilvl="0" w:tplc="0BAAE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B104C"/>
    <w:multiLevelType w:val="hybridMultilevel"/>
    <w:tmpl w:val="B726D6E8"/>
    <w:lvl w:ilvl="0" w:tplc="FC3644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C3644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BF4A3B"/>
    <w:multiLevelType w:val="hybridMultilevel"/>
    <w:tmpl w:val="EA94DDD8"/>
    <w:lvl w:ilvl="0" w:tplc="FC3644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7C8570B"/>
    <w:multiLevelType w:val="hybridMultilevel"/>
    <w:tmpl w:val="339C70C0"/>
    <w:lvl w:ilvl="0" w:tplc="FC3644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2764B1"/>
    <w:multiLevelType w:val="hybridMultilevel"/>
    <w:tmpl w:val="47700CAC"/>
    <w:lvl w:ilvl="0" w:tplc="E364316A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83511B"/>
    <w:multiLevelType w:val="hybridMultilevel"/>
    <w:tmpl w:val="93966C0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31720C"/>
    <w:multiLevelType w:val="hybridMultilevel"/>
    <w:tmpl w:val="F410C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2"/>
  </w:num>
  <w:num w:numId="5">
    <w:abstractNumId w:val="14"/>
  </w:num>
  <w:num w:numId="6">
    <w:abstractNumId w:val="6"/>
  </w:num>
  <w:num w:numId="7">
    <w:abstractNumId w:val="4"/>
  </w:num>
  <w:num w:numId="8">
    <w:abstractNumId w:val="13"/>
  </w:num>
  <w:num w:numId="9">
    <w:abstractNumId w:val="15"/>
  </w:num>
  <w:num w:numId="10">
    <w:abstractNumId w:val="3"/>
  </w:num>
  <w:num w:numId="11">
    <w:abstractNumId w:val="9"/>
  </w:num>
  <w:num w:numId="12">
    <w:abstractNumId w:val="5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80F"/>
    <w:rsid w:val="00010E17"/>
    <w:rsid w:val="00023EF9"/>
    <w:rsid w:val="00023F98"/>
    <w:rsid w:val="00046958"/>
    <w:rsid w:val="00050CD8"/>
    <w:rsid w:val="00055501"/>
    <w:rsid w:val="00072C45"/>
    <w:rsid w:val="000A190E"/>
    <w:rsid w:val="000B7DD6"/>
    <w:rsid w:val="000D50EE"/>
    <w:rsid w:val="000E1ADC"/>
    <w:rsid w:val="000E47AA"/>
    <w:rsid w:val="00100090"/>
    <w:rsid w:val="00107CF1"/>
    <w:rsid w:val="00120C97"/>
    <w:rsid w:val="00133E5F"/>
    <w:rsid w:val="00143BD0"/>
    <w:rsid w:val="00144D3D"/>
    <w:rsid w:val="001748CC"/>
    <w:rsid w:val="00197AAF"/>
    <w:rsid w:val="00197FDB"/>
    <w:rsid w:val="001A7CC7"/>
    <w:rsid w:val="001D6E77"/>
    <w:rsid w:val="002129B4"/>
    <w:rsid w:val="0021655A"/>
    <w:rsid w:val="0022527F"/>
    <w:rsid w:val="0023177C"/>
    <w:rsid w:val="00250208"/>
    <w:rsid w:val="0025747B"/>
    <w:rsid w:val="002727D2"/>
    <w:rsid w:val="0029023F"/>
    <w:rsid w:val="00294203"/>
    <w:rsid w:val="002B6CA2"/>
    <w:rsid w:val="002D1CC9"/>
    <w:rsid w:val="002E1ACF"/>
    <w:rsid w:val="0030348B"/>
    <w:rsid w:val="00313A1B"/>
    <w:rsid w:val="00322A55"/>
    <w:rsid w:val="00343280"/>
    <w:rsid w:val="00354DC0"/>
    <w:rsid w:val="00355D29"/>
    <w:rsid w:val="00374B62"/>
    <w:rsid w:val="003A0EA4"/>
    <w:rsid w:val="003A34AF"/>
    <w:rsid w:val="003D0F73"/>
    <w:rsid w:val="003E46DD"/>
    <w:rsid w:val="003E4EFA"/>
    <w:rsid w:val="003F6F43"/>
    <w:rsid w:val="00400585"/>
    <w:rsid w:val="00422B34"/>
    <w:rsid w:val="00466E86"/>
    <w:rsid w:val="00474AFC"/>
    <w:rsid w:val="004947B0"/>
    <w:rsid w:val="004A395C"/>
    <w:rsid w:val="004B0B5F"/>
    <w:rsid w:val="004C4A17"/>
    <w:rsid w:val="004D580A"/>
    <w:rsid w:val="004F632C"/>
    <w:rsid w:val="005025C2"/>
    <w:rsid w:val="00513189"/>
    <w:rsid w:val="005140B4"/>
    <w:rsid w:val="00523C4D"/>
    <w:rsid w:val="00557FB3"/>
    <w:rsid w:val="00567CD3"/>
    <w:rsid w:val="00577272"/>
    <w:rsid w:val="00586C6C"/>
    <w:rsid w:val="00591E10"/>
    <w:rsid w:val="00595ADB"/>
    <w:rsid w:val="005B4E9D"/>
    <w:rsid w:val="005B5485"/>
    <w:rsid w:val="005C1DB5"/>
    <w:rsid w:val="00611C9C"/>
    <w:rsid w:val="00630B9D"/>
    <w:rsid w:val="00660685"/>
    <w:rsid w:val="00671829"/>
    <w:rsid w:val="006917A3"/>
    <w:rsid w:val="006960F5"/>
    <w:rsid w:val="006A38FB"/>
    <w:rsid w:val="006A6EB3"/>
    <w:rsid w:val="006C2F10"/>
    <w:rsid w:val="006C6CF4"/>
    <w:rsid w:val="006D03AC"/>
    <w:rsid w:val="006D0D6F"/>
    <w:rsid w:val="006D2535"/>
    <w:rsid w:val="00711F34"/>
    <w:rsid w:val="00712B47"/>
    <w:rsid w:val="00720394"/>
    <w:rsid w:val="007237E7"/>
    <w:rsid w:val="00724F28"/>
    <w:rsid w:val="00725F64"/>
    <w:rsid w:val="007605F5"/>
    <w:rsid w:val="00764C95"/>
    <w:rsid w:val="00773CA6"/>
    <w:rsid w:val="0078009B"/>
    <w:rsid w:val="007844E6"/>
    <w:rsid w:val="00784E42"/>
    <w:rsid w:val="00796469"/>
    <w:rsid w:val="007A2C9C"/>
    <w:rsid w:val="007A6B17"/>
    <w:rsid w:val="007B7EC6"/>
    <w:rsid w:val="007E53BE"/>
    <w:rsid w:val="008004A3"/>
    <w:rsid w:val="00810B64"/>
    <w:rsid w:val="00823F71"/>
    <w:rsid w:val="00855C8B"/>
    <w:rsid w:val="00863A1A"/>
    <w:rsid w:val="00874AC8"/>
    <w:rsid w:val="00876785"/>
    <w:rsid w:val="008843BA"/>
    <w:rsid w:val="00886A4B"/>
    <w:rsid w:val="00890B19"/>
    <w:rsid w:val="00896C63"/>
    <w:rsid w:val="008A1AD4"/>
    <w:rsid w:val="008B4C34"/>
    <w:rsid w:val="008D417D"/>
    <w:rsid w:val="008E19A7"/>
    <w:rsid w:val="008E4C7F"/>
    <w:rsid w:val="009006F0"/>
    <w:rsid w:val="009107FB"/>
    <w:rsid w:val="00927DAA"/>
    <w:rsid w:val="00946E5C"/>
    <w:rsid w:val="00952962"/>
    <w:rsid w:val="009834B8"/>
    <w:rsid w:val="009D3664"/>
    <w:rsid w:val="009D7951"/>
    <w:rsid w:val="009F625B"/>
    <w:rsid w:val="00A402E5"/>
    <w:rsid w:val="00A46125"/>
    <w:rsid w:val="00A477E7"/>
    <w:rsid w:val="00A66D42"/>
    <w:rsid w:val="00A70D65"/>
    <w:rsid w:val="00A81575"/>
    <w:rsid w:val="00A91820"/>
    <w:rsid w:val="00A91E5D"/>
    <w:rsid w:val="00A97376"/>
    <w:rsid w:val="00AA04C4"/>
    <w:rsid w:val="00AA7DA6"/>
    <w:rsid w:val="00AC33F9"/>
    <w:rsid w:val="00AC4AF2"/>
    <w:rsid w:val="00AE1A61"/>
    <w:rsid w:val="00B130B3"/>
    <w:rsid w:val="00B36E42"/>
    <w:rsid w:val="00B428A1"/>
    <w:rsid w:val="00B82537"/>
    <w:rsid w:val="00B90972"/>
    <w:rsid w:val="00B95855"/>
    <w:rsid w:val="00BB0241"/>
    <w:rsid w:val="00BD66D4"/>
    <w:rsid w:val="00BD7F9F"/>
    <w:rsid w:val="00C06391"/>
    <w:rsid w:val="00C32E15"/>
    <w:rsid w:val="00C85609"/>
    <w:rsid w:val="00C93DA0"/>
    <w:rsid w:val="00C9408D"/>
    <w:rsid w:val="00CA171C"/>
    <w:rsid w:val="00CA2D93"/>
    <w:rsid w:val="00CA74C7"/>
    <w:rsid w:val="00CB36B3"/>
    <w:rsid w:val="00CC1538"/>
    <w:rsid w:val="00CD580F"/>
    <w:rsid w:val="00CF779F"/>
    <w:rsid w:val="00D229C9"/>
    <w:rsid w:val="00D316AE"/>
    <w:rsid w:val="00D42A0E"/>
    <w:rsid w:val="00D60326"/>
    <w:rsid w:val="00D720B6"/>
    <w:rsid w:val="00D75228"/>
    <w:rsid w:val="00D876B9"/>
    <w:rsid w:val="00DC4673"/>
    <w:rsid w:val="00DD725F"/>
    <w:rsid w:val="00DE795C"/>
    <w:rsid w:val="00E0456F"/>
    <w:rsid w:val="00E118CB"/>
    <w:rsid w:val="00E53690"/>
    <w:rsid w:val="00E70BF7"/>
    <w:rsid w:val="00EF449B"/>
    <w:rsid w:val="00F20851"/>
    <w:rsid w:val="00F62694"/>
    <w:rsid w:val="00F62B0E"/>
    <w:rsid w:val="00F63AD5"/>
    <w:rsid w:val="00F73566"/>
    <w:rsid w:val="00F92C69"/>
    <w:rsid w:val="00FA0B78"/>
    <w:rsid w:val="00FA1FFA"/>
    <w:rsid w:val="00FB71B8"/>
    <w:rsid w:val="00FC66C8"/>
    <w:rsid w:val="00FD7DE2"/>
    <w:rsid w:val="00FE319E"/>
    <w:rsid w:val="00FE750D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3B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281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AC7281"/>
    <w:pPr>
      <w:keepNext/>
      <w:tabs>
        <w:tab w:val="num" w:pos="426"/>
      </w:tabs>
      <w:ind w:left="426"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link w:val="Nagwek2Znak"/>
    <w:qFormat/>
    <w:rsid w:val="00AC7281"/>
    <w:pPr>
      <w:keepNext/>
      <w:tabs>
        <w:tab w:val="num" w:pos="426"/>
      </w:tabs>
      <w:spacing w:line="360" w:lineRule="auto"/>
      <w:ind w:left="426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AC7281"/>
    <w:rPr>
      <w:rFonts w:ascii="Times New Roman" w:eastAsia="Times New Roman" w:hAnsi="Times New Roman"/>
      <w:b/>
      <w:bCs/>
      <w:color w:val="00000A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AC7281"/>
    <w:rPr>
      <w:rFonts w:ascii="Times New Roman" w:eastAsia="Times New Roman" w:hAnsi="Times New Roman"/>
      <w:b/>
      <w:bCs/>
      <w:color w:val="00000A"/>
      <w:sz w:val="28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Wcicietrecitekstu"/>
    <w:qFormat/>
    <w:rsid w:val="00AC72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C72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StarSymbol"/>
      <w:sz w:val="18"/>
      <w:szCs w:val="18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StarSymbol"/>
      <w:sz w:val="18"/>
      <w:szCs w:val="18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Open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cicietrecitekstu">
    <w:name w:val="Wcięcie treści tekstu"/>
    <w:basedOn w:val="Normalny"/>
    <w:link w:val="TekstpodstawowywcityZnak"/>
    <w:uiPriority w:val="99"/>
    <w:unhideWhenUsed/>
    <w:rsid w:val="00AC7281"/>
    <w:pPr>
      <w:spacing w:after="120"/>
      <w:ind w:left="283"/>
    </w:pPr>
  </w:style>
  <w:style w:type="paragraph" w:styleId="Stopka">
    <w:name w:val="footer"/>
    <w:basedOn w:val="Normalny"/>
    <w:link w:val="StopkaZnak"/>
    <w:uiPriority w:val="99"/>
    <w:unhideWhenUsed/>
    <w:rsid w:val="00AC728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1"/>
    <w:semiHidden/>
    <w:rsid w:val="003A0EA4"/>
    <w:pPr>
      <w:spacing w:line="360" w:lineRule="auto"/>
      <w:ind w:firstLine="708"/>
      <w:jc w:val="both"/>
    </w:pPr>
    <w:rPr>
      <w:color w:val="auto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rsid w:val="003A0EA4"/>
    <w:rPr>
      <w:rFonts w:ascii="Times New Roman" w:eastAsia="Times New Roman" w:hAnsi="Times New Roman"/>
      <w:sz w:val="24"/>
      <w:szCs w:val="24"/>
      <w:lang w:eastAsia="ar-SA"/>
    </w:rPr>
  </w:style>
  <w:style w:type="paragraph" w:styleId="Akapitzlist">
    <w:name w:val="List Paragraph"/>
    <w:aliases w:val="Eko punkty,podpunkt,BulletC,Obiekt,List Paragraph1,List Paragraph,Akapit z listą1,Numerowanie,L1,NOWY,Kolorowa lista — akcent 11,Wypunktowanie,Akapit z listą11,Akapit z listą3,normalny,Normal,Wyliczanie,Akapit z listą31,Bullets"/>
    <w:basedOn w:val="Normalny"/>
    <w:link w:val="AkapitzlistZnak"/>
    <w:qFormat/>
    <w:rsid w:val="003A0EA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Default">
    <w:name w:val="Default"/>
    <w:qFormat/>
    <w:rsid w:val="00A461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AAF"/>
    <w:rPr>
      <w:rFonts w:ascii="Tahoma" w:eastAsia="Times New Roman" w:hAnsi="Tahoma" w:cs="Tahoma"/>
      <w:color w:val="00000A"/>
      <w:sz w:val="16"/>
      <w:szCs w:val="16"/>
      <w:lang w:eastAsia="ar-SA"/>
    </w:rPr>
  </w:style>
  <w:style w:type="character" w:customStyle="1" w:styleId="AkapitzlistZnak">
    <w:name w:val="Akapit z listą Znak"/>
    <w:aliases w:val="Eko punkty Znak,podpunkt Znak,BulletC Znak,Obiekt Znak,List Paragraph1 Znak,List Paragraph Znak,Akapit z listą1 Znak,Numerowanie Znak,L1 Znak,NOWY Znak,Kolorowa lista — akcent 11 Znak,Wypunktowanie Znak,Akapit z listą11 Znak"/>
    <w:link w:val="Akapitzlist"/>
    <w:uiPriority w:val="34"/>
    <w:qFormat/>
    <w:locked/>
    <w:rsid w:val="009D3664"/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59"/>
    <w:rsid w:val="00B9097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43BD0"/>
    <w:rPr>
      <w:sz w:val="22"/>
    </w:rPr>
  </w:style>
  <w:style w:type="paragraph" w:styleId="NormalnyWeb">
    <w:name w:val="Normal (Web)"/>
    <w:basedOn w:val="Normalny"/>
    <w:unhideWhenUsed/>
    <w:rsid w:val="00896C63"/>
    <w:pPr>
      <w:suppressAutoHyphens w:val="0"/>
      <w:spacing w:before="100" w:beforeAutospacing="1" w:after="119"/>
    </w:pPr>
    <w:rPr>
      <w:color w:val="auto"/>
      <w:lang w:eastAsia="pl-PL"/>
    </w:rPr>
  </w:style>
  <w:style w:type="character" w:customStyle="1" w:styleId="FontStyle114">
    <w:name w:val="Font Style114"/>
    <w:rsid w:val="00D75228"/>
    <w:rPr>
      <w:rFonts w:ascii="Arial Unicode MS" w:eastAsia="Arial Unicode MS" w:hAnsi="Arial Unicode MS" w:cs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6378</Characters>
  <Application>Microsoft Office Word</Application>
  <DocSecurity>0</DocSecurity>
  <Lines>53</Lines>
  <Paragraphs>14</Paragraphs>
  <ScaleCrop>false</ScaleCrop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Budowa elektrowni słonecznej o mocy do 16MW wraz</dc:title>
  <dc:creator/>
  <cp:lastModifiedBy/>
  <cp:revision>1</cp:revision>
  <dcterms:created xsi:type="dcterms:W3CDTF">2021-09-20T13:26:00Z</dcterms:created>
  <dcterms:modified xsi:type="dcterms:W3CDTF">2021-09-20T13:26:00Z</dcterms:modified>
  <dc:language/>
</cp:coreProperties>
</file>